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7B_1086/2025 vom 17. November 2025</w:t>
      </w:r>
    </w:p>
    <w:p>
      <w:r>
        <w:t>Bundesgericht, 2025-11-17, DE</w:t>
      </w:r>
    </w:p>
    <w:p>
      <w:r>
        <w:rPr>
          <w:b/>
        </w:rPr>
        <w:t xml:space="preserve">Quelle: </w:t>
      </w:r>
      <w:r>
        <w:t>https://mcp.opencaselaw.ch/entscheid/bger_7B_1086_2025</w:t>
      </w:r>
    </w:p>
    <w:p>
      <w:r>
        <w:t>FR: TF 7B_1086/2025 du 17 novembre 2025</w:t>
      </w:r>
    </w:p>
    <w:p>
      <w:r>
        <w:t>IT: TF 7B_1086/2025 del 17 novembre 2025</w:t>
      </w:r>
    </w:p>
    <w:p>
      <w:pPr>
        <w:pStyle w:val="Heading2"/>
      </w:pPr>
      <w:r>
        <w:t>Erwägungen</w:t>
      </w:r>
    </w:p>
    <w:p>
      <w:r>
        <w:rPr>
          <w:b/>
        </w:rPr>
        <w:t>E. 1</w:t>
      </w:r>
    </w:p>
    <w:p>
      <w:r>
        <w:t>Mit einer undatierten, beim Bundesgericht am 15. Oktober 2025 eingegangen Eingabe führt A.________ Beschwerde in Strafsachen gegen den Beschluss des Obergerichts des Kantons Bern vom 26. September 2025 betreffend Abweisung des Gesuchs um Wiederaufnahme des Strafverfahrens BM 21 12780 gegen die B.________ AG wegen Sachentziehung.</w:t>
      </w:r>
    </w:p>
    <w:p>
      <w:r>
        <w:t>Es wurden keine Vernehmlassungen eingeholt.</w:t>
      </w:r>
    </w:p>
    <w:p>
      <w:r>
        <w:rPr>
          <w:b/>
        </w:rPr>
        <w:t>E. 2</w:t>
      </w:r>
    </w:p>
    <w:p>
      <w:r>
        <w:t>Im angefochtenen Beschluss legt die Vorinstanz detailliert dar, weshalb mangels tauglicher Beschwerdebegründung im Sinne von Art. 385 Abs. 1 StPO auf das Rechtsmittel der Beschwerdeführerin nicht einzutreten ist und weshalb in ihrem Fall auf die Ansetzung einer Nachfrist im Sinne von Art. 385 Abs. 2 StPO verzichtet werden könne. Mit dieser Begründung, die zum Nichteintreten auf ihr kantonales Rechtsmittel geführt hat, setzt sich die Beschwerdeführerin mit keinem Wort auseinander. Stattdessen schildert sie in chronologischer Abfolge Sachverhaltselemente, die ihres Erachtens zur Verurteilung der B.________ AG wegen Sachentziehung führen müssten.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