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7B_1078/2025 vom 7. Januar 2026</w:t>
      </w:r>
    </w:p>
    <w:p>
      <w:r>
        <w:t>Bundesgericht, 2026-01-07, FR</w:t>
      </w:r>
    </w:p>
    <w:p>
      <w:r>
        <w:rPr>
          <w:b/>
        </w:rPr>
        <w:t xml:space="preserve">Quelle: </w:t>
      </w:r>
      <w:r>
        <w:t>https://mcp.opencaselaw.ch/entscheid/bger_7B_1078_2025</w:t>
      </w:r>
    </w:p>
    <w:p>
      <w:r>
        <w:t>FR: TF 7B_1078/2025 du 7 janvier 2026</w:t>
      </w:r>
    </w:p>
    <w:p>
      <w:r>
        <w:t>IT: TF 7B_1078/2025 del 7 gennaio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L'autorité précédente a constaté que les recours formés par la recourante ne satisfaisaient pas aux exigences de motivation prescrites par l' art. 385 al. 1 CPP . Au demeurant, la recourante ne démontrait aucun préjudice irréparable au sens de l' art. 394 let. b CPP dans son recours du 29 septembre 2025.</w:t>
      </w:r>
    </w:p>
    <w:p>
      <w:r>
        <w:rPr>
          <w:b/>
        </w:rPr>
        <w:t>E. 1.3</w:t>
      </w:r>
    </w:p>
    <w:p>
      <w:r>
        <w:t>Face à cette motivation, la recourante n'articule aucune critique, conforme aux exigences en la matière, susceptible de démontrer que la juridiction précédente aurait violé le droit fédéral (en particulier l' art. 385 al. 1 CPP ) en déclarant ses recours irrecevables. Elle se borne en effet à réitérer les raisons pour lesquelles elle n'est pas d'accord avec l'expertise établie le 31 août 2025 et à demander une contre-expertise. Ce faisant, elle ne cherche pas à démontrer que ses recours devant la la Chambre des recours pénale satisfaisaient aux exigences de motivation et partant de recevabilité.</w:t>
      </w:r>
    </w:p>
    <w:p>
      <w:r>
        <w:rPr>
          <w:b/>
        </w:rPr>
        <w:t>E. 1.4</w:t>
      </w:r>
    </w:p>
    <w:p>
      <w:r>
        <w:t>Ne répondant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7B_671/2025 du 25 août 2025 consid. 2 et la réf. citée).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