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7B_1074/2024 vom 18. September 2025</w:t>
      </w:r>
    </w:p>
    <w:p>
      <w:r>
        <w:t>Bundesgericht, 2025-09-18, DE</w:t>
      </w:r>
    </w:p>
    <w:p>
      <w:r>
        <w:rPr>
          <w:b/>
        </w:rPr>
        <w:t xml:space="preserve">Quelle: </w:t>
      </w:r>
      <w:r>
        <w:t>https://mcp.opencaselaw.ch/entscheid/bger_7B_1074_2024</w:t>
      </w:r>
    </w:p>
    <w:p>
      <w:r>
        <w:t>FR: TF 7B_1074/2024 du 18 septembre 2025</w:t>
      </w:r>
    </w:p>
    <w:p>
      <w:r>
        <w:t>IT: TF 7B_1074/2024 del 18 settembre 2025</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w:t>
      </w:r>
    </w:p>
    <w:p>
      <w:r>
        <w:rPr>
          <w:b/>
        </w:rPr>
        <w:t>E. 1.2.1</w:t>
      </w:r>
    </w:p>
    <w:p>
      <w:r>
        <w:t>Wie sich aus der Anordnung der Staatsanwaltschaft vom 26. April 2024 ergibt, dienen die angeordneten Zwangsmassnahmen einzig der Aufklärung der Straftat, deren der Beschwerdeführer im laufenden Strafverfahren verdächtigt wird. Ihnen kommt somit keine über das Strafverfahren hinausgehende, eigenständige Bedeutung zu. Beim angefochtenen Entscheid handelt es sich deshalb um einen Zwischenentscheid im Sinne von Art. 93 BGG (zum Ganzen Urteil 7B_95/2022 vom 8. April 2024 E. 1.2-1.3 mit Hinweisen).</w:t>
      </w:r>
    </w:p>
    <w:p>
      <w:r>
        <w:rPr>
          <w:b/>
        </w:rPr>
        <w:t>E. 1.2.2</w:t>
      </w:r>
    </w:p>
    <w:p>
      <w:r>
        <w:t>Gegen einen Zwischenentscheid gemäss Art. 93 Abs. 1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mit Hinweis). Nach der Rechtsprechung muss es sich beim nicht wieder gutzumachenden Nachteil gemäss Art. 93 Abs. 1 lit. a BGG um einen solchen rechtlicher Natur handeln. Dies bedeutet, dass er auch durch einen für die beschwerdeführende Partei günstigen späteren Entscheid nicht mehr behoben werden kann ( BGE 144 IV 127 E. 1.3.1). Ein lediglich tatsächlicher Nachteil wie die Verteuerung oder Verlängerung des Verfahrens genügt nicht ( BGE 142 III 798 E. 2.2). Das Bundesgericht soll sich wenn möglich nur einmal mit einer Sache befassen ( BGE 148 IV 155 E. 1.1; 147 III 159 E. 4.1; 137 IV 237 E. 1.1). Die beschwerdeführende Partei muss, wenn das nicht offensichtlich ist, im Einzelnen darlegen, inwiefern ihr ein nicht wieder gutzumachender Nachteil rechtlicher Natur drohen soll. Andernfalls kann auf die Beschwerde nicht eingetreten werden ( BGE 142 III 798 E. 2.2; 137 III 324 E. 1.1; je mit Hinweisen).</w:t>
      </w:r>
    </w:p>
    <w:p>
      <w:r>
        <w:rPr>
          <w:b/>
        </w:rPr>
        <w:t>E. 1.2.3</w:t>
      </w:r>
    </w:p>
    <w:p>
      <w:r>
        <w:t>Gemäss der Praxis des Bundesgerichts stellt der blosse Umstand, dass ein Beweismittel, dessen Gültigkeit bestritten ist, bei den Akten bleibt, keinen nicht wieder gutzumachenden Nachteil dar, da es möglich ist, diese Rüge bis zum endgültigen Abschluss des Verfahrens zu erneuern. Insbesondere kann die Frage der Rechtmässigkeit von Beweismitteln dem Sachgericht vorgelegt werden ( Art. 339 Abs. 2 lit. d StPO ), welches in der Lage ist, zwischen rechtmässigen und unrechtmässigen Beweismitteln zu unterscheiden und sich bei der Würdigung ausschliesslich auf Erstere zu stützen. Das erstinstanzliche Urteil kann im Rahmen einer Berufung angefochten werden (vgl. Art. 398 StPO ), und als letztes Mittel kann die beschuldigte Person Beschwerde an das Bundesgericht führen ( BGE 144 IV 90 E. 1.1.3; 143 IV 387 E. 4.4; 141 IV 284 E. 2.2; teils mit weiteren Hinweisen). Von dieser Regel bestehen jedoch Ausnahmen. Eine solche liegt insbesondere vor, wenn das Gesetz ausdrücklich die sofortige Rückgabe oder Entfernung aus den Akten bzw. Vernichtung rechtswidrig erlangter Beweise vorsieht (vgl. z.B. Art. 248 Abs. 3, Art. 271 Abs. 3, Art. 277 und Art. 289 Abs. 6 StPO ). Ebenso verhält es sich, wenn aufgrund des Gesetzes oder der Umstände des Einzelfalles die Rechtswidrigkeit des Beweismittels ohne Weiteres feststeht und die betroffene Person ein besonders gewichtiges rechtlich geschütztes Interesse an der unverzüglichen Feststellung der Unverwertbarkeit des Beweises geltend macht ( BGE 144 IV 127 E. 1.3.1; 143 IV 387 E. 4.4; 141 IV 284 E. 2.3; je mit Hinweisen).</w:t>
      </w:r>
    </w:p>
    <w:p>
      <w:r>
        <w:rPr>
          <w:b/>
        </w:rPr>
        <w:t>E. 1.2.4</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1.2.5</w:t>
      </w:r>
    </w:p>
    <w:p>
      <w:r>
        <w:t>Der Beschwerdeführer macht in der Sache geltend, die Vermieterin B.________ habe unberechtigterweise sein abgeschlossenes Zimmer betreten und sei dabei zufällig auf das Marihuana gestossen, weshalb die hernach von der Kantonspolizei sichergestellten Beweismittel nicht verwertbar seien und zur Begründung des - die Zwangsmassnahmen voraussetzenden - Tatverdachts nicht herangezogen werden dürften ( Art. 141 Abs. 2 und 4 StPO ). Zwar ist unbestritten, dass B.________ die illegalen Betäubungsmittel nur entdeckte, weil sie ohne Einwilligung in das Zimmer des Beschwerdeführers eindrang. Die Unverwertbarkeit der Beweise liegt allerdings nicht klar auf der Hand: Von Privaten rechtswidrig erlangte Beweise sind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 BGE 151 IV 124 E. 2 auch zur Voraussetzung der hypothetisch rechtmässigen Erlangbarkeit durch die Strafbehörden; 147 IV 16 E. 1.1, 9 E. 1.3.1; 146 IV 226 E. 2; je mit Hinweisen). Als schwere Straftaten im Sinne des Gesetzes fallen vorab Verbrechen in Betracht. Für die Frage, ob eine schwere Straftat im Sinne von Art. 141 Abs. 2 StPO vorliegt, sind nicht generell gewisse Tatbestände und deren abstrakte Strafandrohungen, sondern die gesamten Umstände des konkreten Falls zu berücksichtigen ( BGE 149 IV 352 E. 1.3.3; 147 IV 9 E. 1.4.2; je mit Hinweisen). Die Vorinstanz stellt willkürfrei fest, dass in dem vom Beschwerdeführer gemieteten Zimmer rund 5 kg in 31 Pakete abgepacktes Marihuana aufgefunden worden sei. Der Beschwerdeführer habe es nicht bei sich zu Hause aufbewahrt, sondern dafür verdachtsweise eigens ein Zimmer in einem Gastbeherbergungsbetrieb gemietet, in dem sich nebst dem Marihuana nur noch eine Schere und ein Markierstift gefunden hätten. Wenn die Vorinstanz ausgehend davon erwägt, die Strafverfolgungsbehörden wären zur Durchführung einer Hausdurchsuchung im Zimmer des Beschwerdeführers berechtigt gewesen, hätten sie von den Betäubungsmitteln Kenntnis gehabt, ist dies nicht zu beanstanden. In einem zweiten Schritt kommt die Vorinstanz nachvollziehbar zum Schluss, die gesamten Umstände hätten auf einen beabsichtigten Verkauf des Marihuanas hingedeutet, womit auch ein Verdacht auf einen gewerbsmässigen Handel im Sinne von Art. 19 Abs. 2 lit. c des Bundesgesetzes vom 3. Oktober 1951 über die Betäubungsmittel und die psychotropen Stoffe (Betäubungsmittelgesetz, BetmG; SR 812.121) im Raum stehe. Bei dieser Sachlage kann nicht ohne Weiteres gesagt werden, es liege keine schwere Straftat gemäss Art. 141 Abs. 2 StPO vor.</w:t>
      </w:r>
    </w:p>
    <w:p>
      <w:r>
        <w:rPr>
          <w:b/>
        </w:rPr>
        <w:t>E. 1.2.6</w:t>
      </w:r>
    </w:p>
    <w:p>
      <w:r>
        <w:t>Nach dem Gesagten ist der drohende nicht wieder gutzumachende Rechtsnachteil im Sinne von Art. 93 Abs. 1 lit. a BGG zu verneinen. Es wird Sache des für den Endentscheid zuständigen Sachgerichts sein, über die vom Beschwerdeführer akzessorisch aufgeworfenen Beweisverwertungsfragen zu befinden.</w:t>
      </w:r>
    </w:p>
    <w:p>
      <w:r>
        <w:rPr>
          <w:b/>
        </w:rPr>
        <w:t>E. 2</w:t>
      </w:r>
    </w:p>
    <w:p>
      <w:r>
        <w:t>Auf die Beschwerde ist nicht einzutreten. Der Beschwerdeführer ist kostenpflichtig (vgl. Art. 66 Abs. 1 BGG ). Sein Gesuch um unentgeltliche Rechtspflege ist wegen Aussichtslosigkeit der Beschwerde abzuweisen ( Art. 64 Abs. 1 BGG ). Seiner angespannten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