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7B_106/2024 vom 28. Februar 2024</w:t>
      </w:r>
    </w:p>
    <w:p>
      <w:r>
        <w:t>Bundesgericht, 2024-02-28, FR</w:t>
      </w:r>
    </w:p>
    <w:p>
      <w:r>
        <w:rPr>
          <w:b/>
        </w:rPr>
        <w:t xml:space="preserve">Quelle: </w:t>
      </w:r>
      <w:r>
        <w:t>https://mcp.opencaselaw.ch/entscheid/bger_7B_106_2024</w:t>
      </w:r>
    </w:p>
    <w:p>
      <w:r>
        <w:t>FR: TF 7B_106/2024 du 28 février 2024</w:t>
      </w:r>
    </w:p>
    <w:p>
      <w:r>
        <w:t>IT: TF 7B_106/2024 del 28 febbraio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(arrêt 7B_69/2023 du 28 août 2023 consid. 1.1.1) ou qu'elles ont été résolues d'une autre manière (arrêt 7B_131/2023 du 15 décembre 2023 consid. 3.1 et les arrêts cités).</w:t>
      </w:r>
    </w:p>
    <w:p>
      <w:r>
        <w:rPr>
          <w:b/>
        </w:rPr>
        <w:t>E. 1.3</w:t>
      </w:r>
    </w:p>
    <w:p>
      <w:r>
        <w:t>En l'espèce, il ressort de l'arrêt attaqué que, le 30 novembre 2015, la recourante, représentée par ses administrateurs, avait déposé une plainte pénale contre B.________, qui avait été son directeur entre juin 2003 et mai 2012, pour gestion déloyale ( art. 158 CP ) notamment.</w:t>
      </w:r>
    </w:p>
    <w:p>
      <w:r>
        <w:t>En substance, la recourante reprochait à B.________ d'avoir fait réaliser par ses employés (à elle, la recourante), sur leurs heures de travail, des travaux en sa faveur (à lui, B.________) ou celle de connaissances. La recourante reprochait également à B.________ d'avoir, en sa qualité de directeur, acquis en Italie des moteurs pour fenêtres au prix de 50 EUR l'unité, qu'il lui avait ensuite revendus à 486 fr. pièce, en dissimulant aux membres du comité de direction la réalité du bénéfice qu'il avait réalisé sur cette opération, leur faisant croire que le montant facturé correspondait au prix d'achat (cf. arrêt attaqué, En fait, let. B.c p. 3).</w:t>
      </w:r>
    </w:p>
    <w:p>
      <w:r>
        <w:rPr>
          <w:b/>
        </w:rPr>
        <w:t>E. 1.4</w:t>
      </w:r>
    </w:p>
    <w:p>
      <w:r>
        <w:t>Cela étant relevé, la recourante ne consacre, dans son acte de recours en matière pénale, aucun développement aux prétentions civiles qu'elle entend faire valoir en raison des infractions dénoncées par adhésion à la procédure pénale.</w:t>
      </w:r>
    </w:p>
    <w:p>
      <w:r>
        <w:t>Des précisions à cet égard auraient pourtant été d'autant plus nécessaires que la recourante fait référence, à plusieurs reprises dans son acte de recours, à une procédure menée devant le Tribunal</w:t>
      </w:r>
    </w:p>
    <w:p>
      <w:r>
        <w:t>civil genevois de première instance, qui paraît concerner le même complexe de faits. Alors que les considérants de l'arrêt attaqué font également état de "procédures civiles parallèles" (cf. arrêt attaqué, not. consid. 2.3 p. 9), qui auraient été menées devant les juridictions genevoises à tout le moins depuis le mois de février 2014 (cf. arrêt attaqué, En fait, let. B.b.b p. 2), la recourante s'abstient en particulier d'indiquer si ces procédures sont toujours pendantes ou, le cas échéant, de préciser le sort qui a été réservé aux conclusions civiles ayant été formulées dans ce cadre, étant observé que ces éléments factuels ne peuvent pas non plus être déduits sans autre de l'arrêt attaqué.</w:t>
      </w:r>
    </w:p>
    <w:p>
      <w:r>
        <w:t>Dans ce contexte, la recourante ne parvient pas à démontrer qu'elle dispose de la qualité pour recourir au regard de l'art. 81 al. 1 let. b ch. 5 LTF.</w:t>
      </w:r>
    </w:p>
    <w:p>
      <w:r>
        <w:rPr>
          <w:b/>
        </w:rPr>
        <w:t>E. 2</w:t>
      </w:r>
    </w:p>
    <w:p>
      <w:r>
        <w:t>L'hypothèse visée à l'art. 81 al. 1 let. b ch. 6 LTF n'entre pas non plus en considération, la recourante ne soulevant aucun grief quant à son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cependant pas le cas en l'espèce, la recourante ne formulant aucun grief susceptible d'être examiné à ce titre.</w:t>
      </w:r>
    </w:p>
    <w:p>
      <w:r>
        <w:rPr>
          <w:b/>
        </w:rPr>
        <w:t>E. 4</w:t>
      </w:r>
    </w:p>
    <w:p>
      <w:r>
        <w:t>Dès lors, faute de satisfaire aux conditions de recevabilité d'un recours en matière pénale au Tribunal fédéral (art. 42 al. 1 et 2 et 106 al. 2 LTF), le recours doit être écarté en application de l' art. 108 al. 1 let. a LTF .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