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7B_1069/2025 vom 19. Februar 2026</w:t>
      </w:r>
    </w:p>
    <w:p>
      <w:r>
        <w:t>Bundesgericht, 2026-02-19, FR</w:t>
      </w:r>
    </w:p>
    <w:p>
      <w:r>
        <w:rPr>
          <w:b/>
        </w:rPr>
        <w:t xml:space="preserve">Quelle: </w:t>
      </w:r>
      <w:r>
        <w:t>https://mcp.opencaselaw.ch/entscheid/bger_7B_1069_2025</w:t>
      </w:r>
    </w:p>
    <w:p>
      <w:r>
        <w:t>FR: TF 7B_1069/2025 du 19 février 2026</w:t>
      </w:r>
    </w:p>
    <w:p>
      <w:r>
        <w:t>IT: TF 7B_1069/2025 del 19 febbraio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La Chambre pénale de recours a constaté que les plaintes déposées par le recourant les 21 août 2023 (procédure P/21275/2023) et 27 mai 2024 avaient été traitées et faisaient l'objet de non-entrées en matière définitives. Le retrait de la plainte du 28 septembre 2023, de même que le courrier du 21 septembre 2023, avaient eux aussi été traités dans le cadre de la procédure P/21275/2023. En revanche, la plainte du 8 août 2023 n'avait jamais été traitée. Il apparaissait cependant que le recourant avait été invité, dans le cadre de la procédure pénale précitée, à en produire une copie, ce qu'il n'avait pas fait. Il ne pouvait dès lors pas être reproché au Ministère public d'avoir commis un déni de justice pour ces différentes plaintes. Quant à la plainte du 13 août 2024 (et son "annexe" du 17 juin 2025 et "suite" du 25 août 2025), elle semblait faire l'objet de la procédure en cours (PG/480/2023). Or la juridiction précédente a relevé qu'un justiciable qui, comme en l'espèce, déposait de manière récurrente des plaintes pour un état de fait identique ou similaire ne pouvait pas s'attendre à ce que celles-ci soient traitées à bref délai. Partant, le recours pour déni de justice (cf. art. 5 CPP et 29 al. 1 Cst.) devait être rejeté.</w:t>
      </w:r>
    </w:p>
    <w:p>
      <w:r>
        <w:rPr>
          <w:b/>
        </w:rPr>
        <w:t>E. 1.3</w:t>
      </w:r>
    </w:p>
    <w:p>
      <w:r>
        <w:t>Le recourant fait valoir qu'en considérant ses annexes comme des plaintes indépendantes, la cour cantonale "aurait commis une erreur manifeste d'appréciation" et versé dans l'arbitraire. Ce faisant, il se contente toutefois de substituer sa propre appréciation à celle de l'autorité précédente dans une démarche purement appellatoire, partant irrecevable. En tant qu'il formule ensuite des affirmations péremptoires sur le nombre de plaintes qu'il considère qu'un individu serait en droit de déposer, sa démarche n'est pas davantage recevable (cf. art. 42 al. 2 et 106 al. 2 LTF). Enfin, dans la mesure où le recourant se prévaut d'autres dispositions constitutionnelles et conventionnelles (art. 29 al. 2 en lien avec l'art. 6 § 1 CEDH et art. 29 al. 3 Cst. ), il invoque des violations procédurales qui ne semblent pas avoir été soulevées devant l'autorité précédente. En tout état de cause, les griefs à cet égard ne sont pas soulevés de manière suffisamment motivée pour satisfaire aux exigences déduites de l' art. 106 al. 2 LTF . En définitive, le recourant échoue à mettre en évidence, par une argumentation conforme aux exigences en la matière, en quoi l'autorité précédente aurait violé le droit fédéral ou conventionnel (soit en particulier les art. 5 CPP et 29 al. 1 Cst.) en rejetant son recours pour déni de justice.</w:t>
      </w:r>
    </w:p>
    <w:p>
      <w:r>
        <w:rPr>
          <w:b/>
        </w:rPr>
        <w:t>E. 1.4</w:t>
      </w:r>
    </w:p>
    <w:p>
      <w:r>
        <w:t>Ne répondant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