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7B_1060/2025 vom 20. Oktober 2025</w:t>
      </w:r>
    </w:p>
    <w:p>
      <w:r>
        <w:t>Bundesgericht, 2025-10-20, IT</w:t>
      </w:r>
    </w:p>
    <w:p>
      <w:r>
        <w:rPr>
          <w:b/>
        </w:rPr>
        <w:t xml:space="preserve">Quelle: </w:t>
      </w:r>
      <w:r>
        <w:t>https://mcp.opencaselaw.ch/entscheid/bger_7B_1060_2025</w:t>
      </w:r>
    </w:p>
    <w:p>
      <w:r>
        <w:t>FR: TF 7B_1060/2025 du 20 octobre 2025</w:t>
      </w:r>
    </w:p>
    <w:p>
      <w:r>
        <w:t>IT: TF 7B_1060/2025 del 20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vaglia d'ufficio e con piena cognizione se e in che misura un ricorso può essere esaminato nel merito ( DTF 151 IV 98 consid. 1; 150 IV 103 consid. 1).</w:t>
      </w:r>
    </w:p>
    <w:p>
      <w:r>
        <w:rPr>
          <w:b/>
        </w:rPr>
        <w:t>E. 1.1</w:t>
      </w:r>
    </w:p>
    <w:p>
      <w:r>
        <w:t>Il ricorso al Tribunale federale deve contenere i motivi ( art. 42 cpv. 1 LTF ). Secondo l' art. 42 cpv. 2 LTF , nei motivi del ricorso è necessario spiegare in modo conciso perché l'atto impugnato viola il diritto. Per adempiere a tale obbligo di motivazione, la parte ricorrente deve confrontarsi con i considerandi della sentenza impugnata e spiegare in cosa consista la violazione del diritto ( DTF 148 IV 205 consid. 2.6; 146 IV 297 consid. 1.2). Tali esigenze di motivazione valgono anche per il profano che ricorre al Tribunale federale senza il patrocinio di un avvocato (sentenze 7B_885/2025 del 2 ottobre 2025 consid. 2.2; 7B_845/2025 del 17 settembre 2025 consid. 2.3; 7B_510/2025 del 14 luglio 2025 consid. 1.1).</w:t>
      </w:r>
    </w:p>
    <w:p>
      <w:r>
        <w:rPr>
          <w:b/>
        </w:rPr>
        <w:t>E. 1.2</w:t>
      </w:r>
    </w:p>
    <w:p>
      <w:r>
        <w:t>In concreto le esposte esigenze di motivazione poste dalla LTF risultano completamente disattese. Nel suo ricorso, infatti, il ricorrente non si confronta minimamente con i motivi posti a fondamento della sentenza impugnata.</w:t>
      </w:r>
    </w:p>
    <w:p>
      <w:r>
        <w:t>Laddove egli postula che vengano esaminate le "conseguenze legali" per chi ha presentato accuse "infondate" nei suoi confronti, egli perde di vista che il Tribunale federale è l'autorità giudiziaria suprema della Confederazione ( art. 1 cpv. 1 LTF ) a cui non incombe la ricezione, il trattamento o l'inoltro di denunce penali ad altre autorità (sentenze 7B_382/2025 del 21 agosto 2025 consid. 3; 7B_463/2025 del 15 luglio 2025 consid. 3; 7B_1454/2024 del 19 febbraio 2025 consid. 5).</w:t>
      </w:r>
    </w:p>
    <w:p>
      <w:r>
        <w:t>Per quanto riguarda la richiesta di indennizzo per danni morali e materiali, non risulta dai fatti accertati dalla Corte cantonale ( art. 105 cpv. 1 LTF ) che il ricorrente abbia presentato una tale richiesta in sede cantonale. Egli nemmeno censura al riguardo una violazione del suo diritto di essere sentito ( art. 29 cpv. 2 Cost. ) e non adduce che la Corte cantonale a torto non avrebbe trattato tale domanda nella sentenza impugnata. La conclusione relativa all'indennizzo è pertanto nuova e, in quanto tale, inammissibile ( art. 99 cpv. 2 LTF ).</w:t>
      </w:r>
    </w:p>
    <w:p>
      <w:r>
        <w:rPr>
          <w:b/>
        </w:rPr>
        <w:t>E. 2</w:t>
      </w:r>
    </w:p>
    <w:p>
      <w:r>
        <w:t>Manifestamente non motivato in modo conforme alle esposte esigenze, il ricorso dev'essere dichiarato inammissibile mediante la procedura semplificata dell' art. 108 cpv. 1 lett. b LTF .</w:t>
      </w:r>
    </w:p>
    <w:p>
      <w:r>
        <w:t>Le spese giudiziarie seguono la soccombenza (art. 66 cpv. 1 prima frase LTF) e vanno pertanto poste a carico del ricorrente. Non si assegnano ripetibili della sede federale all'opponente 2, non invitata a presentare una risposta al gravame ( art. 68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