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7B_1060/2024 vom 10. Oktober 2024</w:t>
      </w:r>
    </w:p>
    <w:p>
      <w:r>
        <w:t>Bundesgericht, 2024-10-10, FR</w:t>
      </w:r>
    </w:p>
    <w:p>
      <w:r>
        <w:rPr>
          <w:b/>
        </w:rPr>
        <w:t xml:space="preserve">Quelle: </w:t>
      </w:r>
      <w:r>
        <w:t>https://mcp.opencaselaw.ch/entscheid/bger_7B_1060_2024</w:t>
      </w:r>
    </w:p>
    <w:p>
      <w:r>
        <w:t>FR: TF 7B_1060/2024 du 10 octobre 2024</w:t>
      </w:r>
    </w:p>
    <w:p>
      <w:r>
        <w:t>IT: TF 7B_1060/2024 del 10 ottobre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les recourants ont déposé plainte pénale contre leur beau-frère E.E.________pour appropriation illégitime ( art. 137 CP ) et pour vol ( art. 139 CP ). Ils lui reprochent de s'être approprié sans droit un mobile home situé au Camping du Lac U.________, à V.________ qui appartiendrait à l'hoirie de feu G.________, et d'en avoir disposé entre septembre et octobre 2023. Aussi, les recourants indiquent avoir la qualité pour recourir au Tribunal fédéral, dès lors qu'ils se sont constitués parties plaignantes dans la procédure pénale et qu'ils ont chiffré provisoirement leurs prétentions civiles à 50'000 francs. Il ressort cependant des faits constatés par l'autorité précédente - qui lient le Tribunal fédéral ( art. 105 al. 1 LTF ) - que, selon un certificat d'héritier établi le 10 août 2023, G.________ a laissé comme héritiers institués, à la suite de son décès survenu le 29 mai 2023, les recourants ainsi que leur soeur F.E.________ qui, pour sa part, n'a pas déposé plainte pénale contre son époux E.E.________.</w:t>
      </w:r>
    </w:p>
    <w:p>
      <w:r>
        <w:rPr>
          <w:b/>
        </w:rPr>
        <w:t>E. 1.3</w:t>
      </w:r>
    </w:p>
    <w:p>
      <w:r>
        <w:t>On rappellera à cet égard qu'en cas d'infractions commises au préjudice d'une communauté héréditaire, les héritiers - qui sont seuls titulaires des biens de la succession ( ATF 142 IV 82 consid. 3.3.1; 141 IV 380 consid. 2.3.2 et les réf. citées) - forment, pour l'action civile adhésive et comme pour toute action qui touche les droits de la communauté héréditaire, une consorité nécessaire et doivent dès lors agir conjointement ( ATF 148 IV 256 consid. 3.6; 142 IV 82 consid. 3.3.2). Or les recourants ne cherchent pas à expliquer que, sans procéder avec F.E.________, ils pourraient valablement introduire une action civile par adhésion au procès pénal, afin de faire valoir des prétentions civiles qui appartiendraient à l'hoirie de feu G.________ et pour lesquelles tous les héritiers doivent agir conjointement (consorité nécessaire). Ils n'exposent ainsi pas en quoi l'arrêt attaqué pourrait avoir des effets sur le jugement de telles prétentions civiles (cf. arrêt 7B_80/2023 du 6 février 2024 consid. 1.3.3). Leur motivation sur la question des prétentions civiles, manifestement insuffisante, exclut dès lors leur qualité pour recourir sur le fond de la cause en application de l'art. 81 al. 1 let. a et b ch. 5 LTF.</w:t>
      </w:r>
    </w:p>
    <w:p>
      <w:r>
        <w:rPr>
          <w:b/>
        </w:rPr>
        <w:t>E. 2</w:t>
      </w:r>
    </w:p>
    <w:p>
      <w:r>
        <w:t>Les recourants ne soulèvent par ailleurs aucun grief quant à leur droit de porter plainte au sens de l'art. 81 al. 1 let. b ch. 6 LTF, ni n'invoquent une violation de leurs droits de parties équivalant à un déni de justice formel (cf. ATF 141 IV 1 consid. 1.1).</w:t>
      </w:r>
    </w:p>
    <w:p>
      <w:r>
        <w:rPr>
          <w:b/>
        </w:rPr>
        <w:t>E. 3</w:t>
      </w:r>
    </w:p>
    <w:p>
      <w:r>
        <w:t>L'irrecevabilité manifeste du recours doit dès lors être constatée dans la procédure prévue par l' art. 108 al. 1 let. a LTF . 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