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7B_1057/2025 vom 30. Oktober 2025</w:t>
      </w:r>
    </w:p>
    <w:p>
      <w:r>
        <w:t>Bundesgericht, 2025-10-30, FR</w:t>
      </w:r>
    </w:p>
    <w:p>
      <w:r>
        <w:rPr>
          <w:b/>
        </w:rPr>
        <w:t xml:space="preserve">Quelle: </w:t>
      </w:r>
      <w:r>
        <w:t>https://mcp.opencaselaw.ch/entscheid/bger_7B_1057_2025</w:t>
      </w:r>
    </w:p>
    <w:p>
      <w:r>
        <w:t>FR: TF 7B_1057/2025 du 30 octobre 2025</w:t>
      </w:r>
    </w:p>
    <w:p>
      <w:r>
        <w:t>IT: TF 7B_1057/2025 del 30 ottobre 2025</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et la décision attaquée, en tant que prononcé incident rendu en dernière instance cantonale (cf. art. 80 LTF ), est propre à lui causer un préjudice irréparable au sens de l' art. 93 al. 1 let. a LTF (arrêt 7B_882/2025 du 10 octobre 2025 consid. 1). Pour le surplus, les autres conditions de recevabilité étant réunies, il y a lieu d'entrer en matière.</w:t>
      </w:r>
    </w:p>
    <w:p>
      <w:r>
        <w:rPr>
          <w:b/>
        </w:rPr>
        <w:t>E. 2</w:t>
      </w:r>
    </w:p>
    <w:p>
      <w:r>
        <w:t>Invoquant une violation de l' art. 221 CPP , le recourant conteste tant l'existence de charges suffisantes que le risque de fuite retenus par l'autorité précédente; il conteste également l'absence de mesures de substitution à même de pallier ce risque.</w:t>
      </w:r>
    </w:p>
    <w:p>
      <w:r>
        <w:rPr>
          <w:b/>
        </w:rPr>
        <w:t>E. 2.1.1</w:t>
      </w:r>
    </w:p>
    <w:p>
      <w:r>
        <w:t>Selon l' art. 221 al. 1 let. a CPP , la détention provisoire peut être ordonnée lorsque le prévenu est fortement soupçonné d'avoir commis un crime ou un délit et qu'il y a sérieusement lieu de craindre qu'il se soustraie à la procédure pénale ou à la sanction prévisible en prenant la fuite.</w:t>
      </w:r>
    </w:p>
    <w:p>
      <w:r>
        <w:t>Il n'appartient pas au juge de la détention d'examiner en détail l'ensemble des considérations de fait, pas plus que de procéder à une appréciation complète des éléments à charge et à décharge; il lui incombe uniquement de vérifier, sous l'angle de la vraisemblance, que la détention repose sur des indices de culpabilité suffisants ( ATF 150 IV 360 consid. 3.4.2; 143 IV 330 consid. 2.1; 143 IV 316 consid. 3.1). Pour déterminer si la condition du soupçon sérieux de commission d'une infraction est remplie, le juge de la détention doit examiner s'il existe des indices concrets suffisants en ce sens; les exigences en la matière s'accroissent au cours de l'instruction;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 ATF 151 IV 57 consid. 3.1; 143 IV 316 consid. 3.2; arrêt 7B_907/2025 du 8 octobre 2025 consid. 2.2.1).</w:t>
      </w:r>
    </w:p>
    <w:p>
      <w:r>
        <w:rPr>
          <w:b/>
        </w:rPr>
        <w:t>E. 2.1.2</w:t>
      </w:r>
    </w:p>
    <w:p>
      <w:r>
        <w:t>En l'occurrence, la cour cantonale a considéré qu'il existait de forts soupçons de commission d'un viol par le recourant. En effet, si les déclarations de la victime présentaient certaines incohérences, elles étaient confortées par d'autres indices: les déclarations du gérant de l'épicerie dans laquelle les faits s'étaient déroulés, l'analyse des prélèvements effectués et le rapport du Centre universitaire romand de médecine légale. Au contraire de celles de la victime, les déclarations du recourant, qui reconnaissait désormais avoir entretenu une relation sexuelle prétendument consentie avec la victime, n'étaient pas confortées par l'analyse des prélèvements effectués. Par ailleurs, le recourant ne contestait pas l'existence de forts soupçons de commission des infractions de voies de fait qualifiés, d'injure et de menaces qualifiées commises au préjudice de son ex-compagne (arrêt attaqué, consid. 4.3).</w:t>
      </w:r>
    </w:p>
    <w:p>
      <w:r>
        <w:rPr>
          <w:b/>
        </w:rPr>
        <w:t>E. 2.1.3</w:t>
      </w:r>
    </w:p>
    <w:p>
      <w:r>
        <w:t>Ce raisonnement ne prête pas le flanc à la critique et le recourant ne développe aucune argumentation à même de le remettre en cause. En effet, il se limite en substance à réitérer les arguments qu'il a déjà développés devant la cour cantonale et auxquels celle-ci a répondu de manière convaincante (arrêt attaqué, consid. 4.3). Tel est notamment le cas lorsqu'il soutient à nouveau que les déclarations de la victime seraient incohérentes et contredites par celles du gérant de l'épicerie. Ce faisant, le recourant substitue son appréciation des preuves à celle de l'autorité cantonale de façon éssentiellement appellatoire et donc irrecevable (cf. art. 106 al. 2 LTF ; arrêt 7B_972/2025 du 16 octobre 2025 consid. 2.2). Le recourant semble en outre oublier qu'il n'appartient pas au juge de la détention d'examiner en détail l'ensemble des considérations de fait, pas plus que de procéder à une appréciation complète des éléments à charge et à décharge, mais qu'il lui incombe uniquement de vérifier, sous l'angle de la vraisemblance, que le maintien en détention repose sur des indices de culpabilité suffisants (cf. consid. 2.1.1</w:t>
      </w:r>
    </w:p>
    <w:p>
      <w:r>
        <w:t>supra ). C'est pourquoi son argument selon lequel la cour cantonale n'aurait pas tenu compte de la possibilité évoquée par un médecin que la victime se soit infligé elle-même les lésions qui ont été constatées tombe également à faux.</w:t>
      </w:r>
    </w:p>
    <w:p>
      <w:r>
        <w:rPr>
          <w:b/>
        </w:rPr>
        <w:t>E. 2.1.4</w:t>
      </w:r>
    </w:p>
    <w:p>
      <w:r>
        <w:t>Il s'ensuit que la cour cantonale n'a pas violé l' art. 221 CPP et n'est pas tombée dans l'arbitraire en considérant qu'il existait de forts soupçons de commission d'un crime ou d'un délit à ce stade de l'instruction.</w:t>
      </w:r>
    </w:p>
    <w:p>
      <w:r>
        <w:rPr>
          <w:b/>
        </w:rPr>
        <w:t>E. 2.2.1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Le fait que le risque de fuite puisse se réaliser dans un pays qui pourrait donner suite à une requête d'extradition de la Suisse n'exclut pas un risque de fuite ( ATF 145 IV 503 consid. 2.2; 143 IV 160 consid. 4.3).</w:t>
      </w:r>
    </w:p>
    <w:p>
      <w:r>
        <w:rPr>
          <w:b/>
        </w:rPr>
        <w:t>E. 2.2.2</w:t>
      </w:r>
    </w:p>
    <w:p>
      <w:r>
        <w:t>En l'occurrence, la cour cantonale a considéré que, bien que le recourant fût au bénéfice d'un titre de séjour et eût prétendument l'intention de poursuivre l'activité lucrative qu'il exerçait avant son arrestation, ses attaches avec la Suisse étaient faibles. Elle a constaté à cet égard que le recourant, de nationalité portugaise, n'avait aucun contact avec son fils et son ex-compagne, laquelle avait porté plainte contre lui, et qu'il logeait dans une chambre en colocation louée pour une durée d'un mois seulement. C'est pourquoi, et au vu de la gravité des actes qui lui étaient reprochés, la cour cantonale a considéré que le recourant présentait un risque de fuite concret, le fait qu'il n'ait pas fui alors qu'il faisait l'objet d'enquêtes pénales n'y changeant rien (arrêt attaqué, consid. 5.3).</w:t>
      </w:r>
    </w:p>
    <w:p>
      <w:r>
        <w:t>L'argumentation du recourant à cet égard doit être d'emblée rejetée. En effet, le recourant se contente de répéter qu'il ne présenterait pas de risque de fuite parce qu'il serait resté en Suisse malgré l'ouverture d'instructions pénales contre lui, parce qu'il posséderait un titre de séjour et parce qu'il aurait l'intention de poursuivre son activité lucrative en Suisse. Ce faisant, il substitue encore une fois sa propre appréciation à celle de la cour cantonale de façon appellatoire et donc irrecevable (cf. art. 106 al. 2 LTF ; arrêt 7B_972/2025 du 16 octobre 2025 consid. 2.2).</w:t>
      </w:r>
    </w:p>
    <w:p>
      <w:r>
        <w:rPr>
          <w:b/>
        </w:rPr>
        <w:t>E. 2.3</w:t>
      </w:r>
    </w:p>
    <w:p>
      <w:r>
        <w:t>S'agissant de l'absence de mesures de substitution à même de pallier le risque de fuite constaté par la cour cantonale (arrêt attaqué, consid. 6.1), le recourant se limite à prétendre que cette dernière aurait violé son droit d'être entendu en "fai[sant] sien le raisonnement du tribunal de première instance" et à mentionner quelques mesures qui, selon lui, "p[ourrai]ent être envisagées". Or cette argumentation n'est pas de nature à démontrer l'existence d'une violation du droit fédéral (cf. art. 42 al. 2 LTF ) et moins encore celle d'un droit fondamental du recourant (cf. art. 106 al. 2 LTF ). Tel est d'autant moins le cas que, selon l' art. 82 al. 4 CPP , l'autorité cantonale peut renvoyer à la motivation de l'ordonnance rendue par le TMC (cf. arrêt 7B_315/2025 du 2 juin 2025 consid. 2.3).</w:t>
      </w:r>
    </w:p>
    <w:p>
      <w:r>
        <w:rPr>
          <w:b/>
        </w:rPr>
        <w:t>E. 2.4</w:t>
      </w:r>
    </w:p>
    <w:p>
      <w:r>
        <w:t>Le recourant ne développe au surplus aucune argumentation propre à remettre en cause la proportionnalité de la mesure.</w:t>
      </w:r>
    </w:p>
    <w:p>
      <w:r>
        <w:rPr>
          <w:b/>
        </w:rPr>
        <w:t>E. 3</w:t>
      </w:r>
    </w:p>
    <w:p>
      <w:r>
        <w:t>Au vu de ce qui précède, le recours doit être rejeté dans la mesure où il est recevable.</w:t>
      </w:r>
    </w:p>
    <w:p>
      <w:r>
        <w:t>Le recourant a demandé l'octroi de l'assistance judiciaire ( art. 64 al. 1 LTF ). Les conditions y relatives étant réunies, il y a lieu d'admettre cette requête, de désigner Me Fabien Mingard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