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7B_1057/2024 vom 29. November 2024</w:t>
      </w:r>
    </w:p>
    <w:p>
      <w:r>
        <w:t>Bundesgericht, 2024-11-29, FR</w:t>
      </w:r>
    </w:p>
    <w:p>
      <w:r>
        <w:rPr>
          <w:b/>
        </w:rPr>
        <w:t xml:space="preserve">Quelle: </w:t>
      </w:r>
      <w:r>
        <w:t>https://mcp.opencaselaw.ch/entscheid/bger_7B_1057_2024</w:t>
      </w:r>
    </w:p>
    <w:p>
      <w:r>
        <w:t>FR: TF 7B_1057/2024 du 29 novembre 2024</w:t>
      </w:r>
    </w:p>
    <w:p>
      <w:r>
        <w:t>IT: TF 7B_1057/2024 del 29 novembre 2024</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w:t>
      </w:r>
    </w:p>
    <w:p>
      <w:r>
        <w:t>Constituent de telles prétentions celles qui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 En vertu de l' art. 42 al. 1 LTF , il incombe à la partie recourante d'alléguer les faits qu'elle considère comme propres à fonder sa qualité pour recourir et d'expliquer dans son mémoire au Tribunal fédéral quelles prétentions civiles elle entend faire valoir contre la ou les parties intimées.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de la nature de l'infraction alléguée ( ATF 141 IV 1 consid. 1.1). Lorsque la partie plaignante se plaint d'infractions distinctes, elle doit mentionner, par rapport à chacune d'elles, en quoi consiste son dommage (arrêt 6B_1148/2021 du 23 juin 2023 consid. 1.7 et les arrêts cités).</w:t>
      </w:r>
    </w:p>
    <w:p>
      <w:r>
        <w:rPr>
          <w:b/>
        </w:rPr>
        <w:t>E. 1.2</w:t>
      </w:r>
    </w:p>
    <w:p>
      <w:r>
        <w:t>En l'espèce, le recourant - qui se borne à articuler des arguments de fond - ne dit mot sur les prétentions civiles qu'il pourrait faire valoir dans le procès pénal envers la personne contre laquelle il a déposé plainte pénale pour "non-assistance à personne en danger", soit en particulier pour exposition ( art. 127 CP ) et omission de prêter secours ( art. 128 CP ). Il évoque de manière générale les "souffrances" qui résulteraient des faits dénoncés et n'explique en quoi consisterait le "dommage à [s]a santé" auquel il se réfère.</w:t>
      </w:r>
    </w:p>
    <w:p>
      <w:r>
        <w:t>Le recourant ne démontre par conséquent pas avoir la qualité pour recourir sur le fond en application de l'art. 81 al. 1 let. a et b ch. 5 LTF.</w:t>
      </w:r>
    </w:p>
    <w:p>
      <w:r>
        <w:rPr>
          <w:b/>
        </w:rPr>
        <w:t>E. 1.3</w:t>
      </w:r>
    </w:p>
    <w:p>
      <w:r>
        <w:t>Quant à son droit de porter plainte, le recourant se limite à dire que le non-respect du délai de plainte serait dû à des pourparlers extrajudiciaires, ce qui n'est manifestement pas suffisant pour entrer en matière. L'hypothèse visée à l'art. 81 al. 1 let. b ch. 6 LTF n'entre ainsi pas en considération.</w:t>
      </w:r>
    </w:p>
    <w:p>
      <w:r>
        <w:rPr>
          <w:b/>
        </w:rPr>
        <w:t>E. 1.4</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pas être séparés du fond ( ATF 141 IV 1 consid. 1.1).</w:t>
      </w:r>
    </w:p>
    <w:p>
      <w:r>
        <w:t>En l'espèce, le recourant ne présente pas de grief qui puisse être séparé du fond, de sorte qu'il ne dispose pas non plus de la qualité pour recourir sous cet angle.</w:t>
      </w:r>
    </w:p>
    <w:p>
      <w:r>
        <w:rPr>
          <w:b/>
        </w:rPr>
        <w:t>E. 2</w:t>
      </w:r>
    </w:p>
    <w:p>
      <w:r>
        <w:t>L'irrecevabilité manifeste du recours doit dès lors être constatée dans la procédure simplifiée prévue par l' art. 108 al. 1 let. a LTF . Comme le recours était d'emblée dénué de chances de succès, la demande d'assistance judiciaire doit être rejetée ( art. 64 al. 1 LTF ), ce qui relève également de la compétence du juge unique prévu par l' art. 108 LTF (art. 64 al. 3, 2</w:t>
      </w:r>
    </w:p>
    <w:p>
      <w:r>
        <w:t>e phr., LTF; arrêt 7B_340/2023 du 7 août 2023 consid. 2 et les réf. citées). Le recourant, qui succombe, supportera les frais judiciaires; ceux-ci seront toutefois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