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7B_1047/2023 vom 4. Juli 2025</w:t>
      </w:r>
    </w:p>
    <w:p>
      <w:r>
        <w:t>Bundesgericht, 2025-07-04, DE</w:t>
      </w:r>
    </w:p>
    <w:p>
      <w:r>
        <w:rPr>
          <w:b/>
        </w:rPr>
        <w:t xml:space="preserve">Quelle: </w:t>
      </w:r>
      <w:r>
        <w:t>https://mcp.opencaselaw.ch/entscheid/bger_7B_1047_2023</w:t>
      </w:r>
    </w:p>
    <w:p>
      <w:r>
        <w:t>FR: TF 7B_1047/2023 du 4 juillet 2025</w:t>
      </w:r>
    </w:p>
    <w:p>
      <w:r>
        <w:t>IT: TF 7B_1047/2023 del 4 luglio 2025</w:t>
      </w:r>
    </w:p>
    <w:p>
      <w:pPr>
        <w:pStyle w:val="Heading2"/>
      </w:pPr>
      <w:r>
        <w:t>Erwägungen</w:t>
      </w:r>
    </w:p>
    <w:p>
      <w:r>
        <w:rPr>
          <w:b/>
        </w:rPr>
        <w:t>E. 1</w:t>
      </w:r>
    </w:p>
    <w:p>
      <w:r>
        <w:t>Angefochten ist ein Endentscheid ( Art. 90 BGG ) in Strafsachen einer letzten kantonalen Instanz, die als oberes Gericht auf Berufung hin ( Art. 80 BGG ) geurteilt hat. Die Beschwerdeführerin ist zur Beschwerde legitimiert (Art. 81 Abs. 1 lit. a und b Ziff. 3 BGG). Unter Vorbehalt der nachfolgenden Erwägungen ist die Beschwerde in Strafsachen gemäss Art. 78 ff. BGG grundsätzlich zulässig.</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148 IV 356 E. 2.1, 39 E. 2.6; 147 IV 73 E. 4.1.2; je mit Hinweisen).</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w:t>
      </w:r>
    </w:p>
    <w:p>
      <w:r>
        <w:rPr>
          <w:b/>
        </w:rPr>
        <w:t>E. 2.2</w:t>
      </w:r>
    </w:p>
    <w:p>
      <w:r>
        <w:t>Die Beschwerdeschrift hat ein Rechtsbegehren zu enthalten ( Art. 42 Abs. 1 BGG ). Das Bundesgericht kann gemäss Art. 107 Abs. 2 BGG grundsätzlich reformatorisch entscheiden. Aufhebungsanträge oder Anträge auf Rückweisung der Sache an die Vorinstanz zu neuer Entscheidung allein genügen daher nicht, ausser wenn das Bundesgericht ohnehin nicht reformatorisch entscheiden könnte ( BGE 136 V 131 E. 1.2; 134 III 379 E. 1.3 mit Hinweis). Die Rechtsprechung lässt jedoch genügen, wenn aus der Beschwerdebegründung klar hervorgeht, in welchem Sinne der angefochtene Entscheid abgeändert werden soll ( BGE 137 III 617 E. 6.2; 137 II 313 E. 1.3; 134 III 235 E. 2).</w:t>
      </w:r>
    </w:p>
    <w:p>
      <w:r>
        <w:t>Die Beschwerdeführerin stellt zwar bloss einen kassatorischen Antrag, indem sie die Aufhebung des angefochtenen Urteils und die Rückweisung zur neuen Beurteilung an die Vorinstanz verlangt. Aus der Beschwerdebegründung ergibt sich allerdings klar, dass die Beschwerde (unter anderem) in Bezug auf die Strafzumessung darauf abzielt, zumindest eine Gesamtstrafe von 180 Tagessätzen zu erwirken. Insoweit ist dem Erfordernis eines Antrags in der Sache Genüge getan.</w:t>
      </w:r>
    </w:p>
    <w:p>
      <w:r>
        <w:rPr>
          <w:b/>
        </w:rPr>
        <w:t>E. 3</w:t>
      </w:r>
    </w:p>
    <w:p>
      <w:r>
        <w:t>Die Beschwerdeführerin beanstandet die Strafzumessung. Sie macht geltend, die Vorinstanz habe durch die Verurteilung des Beschwerdegegners zu einer Geldstrafe anstelle einer Freiheitsstrafe und durch die Festsetzung der Geldstrafe auf 150 Tagessätze Art. 47 ff. sowie Art. 50 StGB verletzt.</w:t>
      </w:r>
    </w:p>
    <w:p>
      <w:r>
        <w:rPr>
          <w:b/>
        </w:rPr>
        <w:t>E. 3.1.1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(sogenannte konkrete Methode). Dass die anzuwendenden Strafbestimmungen abstrakt gleichartige Strafen androhen, genügt nicht ( BGE 144 IV 313 E. 1.1.1, 217 E. 2.2; je mit Hinweisen).</w:t>
      </w:r>
    </w:p>
    <w:p>
      <w:r>
        <w:t>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 BGE 144 IV 313 E. 1.1.2, 217 E. 2.4 und 3.5.4).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6B_180/2023 vom 27. Juni 2024 E. 4.3.3; 6B_141/2021 vom 23. Juni 2021 E. 1.3.2; 6B_496/2020 vom 11. Januar 2021 E. 3.4.2; je mit Hinweisen).</w:t>
      </w:r>
    </w:p>
    <w:p>
      <w:r>
        <w:rPr>
          <w:b/>
        </w:rPr>
        <w:t>E. 3.1.3</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 BGE 144 IV 27 E. 3.3.3; 137 IV 249 E. 3.1; 135 IV 188 E. 3.4.3). Das Gericht trägt bei der Wahl der Strafart neben dem Verschulden des Täters, der Zweckmässigkeit der Strafe, ihren Auswirkungen auf die Täterschaft und auf ihr soziales Umfeld sowie ihrer Wirksamkeit unter dem Gesichtswinkel der Prävention Rechnung ( BGE 147 IV 241 E. 3.2, 313 E. 1.2; 134 IV 82 E. 4.1; je mit Hinweisen). Dabei berücksichtigt es, dass bei alternativ zur Verfügung stehenden und hinsichtlich des Schuldausgleichs äquivalenten Sanktionen im Regelfall jene gewählt werden soll, die weniger stark in die persönliche Freiheit des Betroffenen eingreift beziehungsweise die ihn am wenigsten hart trifft ( BGE 138 IV 120 E. 5.2; 134 IV 82 E. 4.1, 97 E. 4.2.2). Dies gilt auch im Rahmen der Gesamtstrafenbildung. Der Täter soll und kann aufgrund des Umstandes, dass mehrere Delikte gleichzeitig zur Beurteilung stehen, für die einzelnen Taten nicht schwerer bestraft werden als bei separater Beurteilung ( BGE 144 IV 217 E. 3.3.3).</w:t>
      </w:r>
    </w:p>
    <w:p>
      <w:r>
        <w:t>Dass die vom Gesetzgeber getroffene Konkurrenzregelung bei mehrfach begangener leichter Kriminalität zu unbilligen Ergebnissen führen kann, ist hinzunehmen und rechtfertigt kein systemwidriges und ergebnisorientiertes Abweichen vom Willen des Gesetzgebers sowie vom Wortlaut von Art. 49 StGB ( BGE 144 IV 217 E. 3.6; vgl. BGE 144 IV 313 E. 1.1.3).</w:t>
      </w:r>
    </w:p>
    <w:p>
      <w:r>
        <w:rPr>
          <w:b/>
        </w:rPr>
        <w:t>E. 3.2.1</w:t>
      </w:r>
    </w:p>
    <w:p>
      <w:r>
        <w:t>Die Vorinstanz spricht den Beschwerdegegner des einfachen Betrugs (Deliktsbetrag Fr. 4'000.--), des mehrfachen versuchten Betrugs sowie des unrechtmässigen Bezugs von Leistungen einer Sozialversicherung (Deliktsbetrag rund Fr. 20'000.--) schuldig. Gemäss Art. 146 Abs. 1 StGB wird ein Betrug mit Freiheitsstrafe bis zu fünf Jahren oder Geldstrafe bestraft. Art. 148a Abs. 1 StGB ahndet den unrechtmässigen Bezug von Leistungen einer Sozialversicherung mit Freiheitsstrafe bis zu einem Jahr oder Geldstrafe.</w:t>
      </w:r>
    </w:p>
    <w:p>
      <w:r>
        <w:rPr>
          <w:b/>
        </w:rPr>
        <w:t>E. 3.2.2</w:t>
      </w:r>
    </w:p>
    <w:p>
      <w:r>
        <w:t>Die Vorinstanz hält einleitend fest, der Beschwerdegegner sei nicht vorbestraft und es seien auch sonst keine Gründe ersichtlich, dass - "sofern schuldangemessen" - nur eine Freiheitsstrafe geeignet wäre, ihn von der Begehung weiterer Verbrechen oder Vergehen abzuhalten. In einem zweiten Schritt setzt sie die Einsatzstrafe für den vollendeten Betrug als "qua Verschulden" konkret schwerste Straftat auf 180 Tagessätze fest, wobei sie in Relation zum Strafrahmen und unter Berücksichtigung der vom Betrug erfassten Handlungen und Deliktssummen von einem leichten Verschulden ausgeht. Sie erwägt sodann, dass die Einsatzstrafe in Anwendung des Asperationsprinzips für die übrigen Delikte, für welche bei einer konkreten Einzelbetrachtung ebenfalls auf eine Geldstrafe und nicht auf eine Freiheitsstrafe zu erkennen wäre, angemessen zu erhöhen wäre. Da ein Wechsel der Strafart ausgeschlossen sei, bleibe es bei einer (maximal zulässigen) Geldstrafe von 180 Tagessätzen. Schliesslich prüft die Vorinstanz die Täterkomponenten, welche sie im Umfang von 30 Tagessätzen strafmindernd berücksichtigt.</w:t>
      </w:r>
    </w:p>
    <w:p>
      <w:r>
        <w:t>Die Vorinstanz folgt damit der dargelegten konkreten Methode bei der Gesamtstrafenbildung, indem sie zunächst die Strafart (und zumindest gedanklich die Einzelstrafen) für die konkret zu beurteilenden Delikte bestimmt und danach aus den einzelnen Einzelgeldstrafen eine Gesamtgeldstrafe bildet, soweit Art. 49 Abs. 1 StGB dies zulässt. Inwiefern es sich vorliegend aufgedrängt hätte, anstelle einer Geldstrafe auf eine Freiheitsstrafe zu erkennen, zeigt die Beschwerdeführerin nicht überzeugend auf. Auch wenn die zahlreichen Delikte zeitlich sowie sachlich eng miteinander verknüpft sein mögen, ist nicht ersichtlich, dass die Einschätzung der Vorinstanz bundesrechtswidrig wäre. In diesem Punkt verfehlt die Beschwerde ihr Ziel.</w:t>
      </w:r>
    </w:p>
    <w:p>
      <w:r>
        <w:t>Wie die Beschwerdeführerin hingegen zu Recht beanstandet, lässt die Vorinstanz bei der Gewichtung der Täterkomponenten unberücksichtigt, dass sie bereits die Einsatzstrafe für den vollendeten Betrug auf 180 Tagessätze festgelegt und die Gesamtstrafe nur deshalb bei dieser Strafhöhe belässt, weil sie dem Höchstmass der Geldstrafe entspricht. Die Vorinstanz hält denn auch fest, dass eine Erhöhung (der Einsatzstrafe) "die maximal zulässige Obergrenze von 180 Tagessätzen deutlich überschreiten" würde. Unter diesen Umständen durfte sie die Gesamtstrafe nicht ausgehend von 180 Tagessätzen (um 30 Tagessätze) kürzen (vgl. dazu Urteil 6B_127/2022 vom 22. März 2023 E. 5.3.2 im Zusammenhang mit dem Verbot der "reformatio in peius"). Die im vorliegenden Fall sich strafmindernd auswirkenden Täterkomponenten hätte sie vielmehr von der zumindest gedanklich asperierten Gesamtstrafe abziehen müssen, sodass die finale (Geld-) Strafe bei 180 Tagessätzen zu stehen kommt. Insoweit ist die Beschwerde begründet.</w:t>
      </w:r>
    </w:p>
    <w:p>
      <w:r>
        <w:rPr>
          <w:b/>
        </w:rPr>
        <w:t>E. 4</w:t>
      </w:r>
    </w:p>
    <w:p>
      <w:r>
        <w:t>Die Beschwerdeführerin rügt die bundesrechtswidrige Anwendung der Härtefallklausel bei der Landesverweisung.</w:t>
      </w:r>
    </w:p>
    <w:p>
      <w:r>
        <w:rPr>
          <w:b/>
        </w:rPr>
        <w:t>E. 4.1.1</w:t>
      </w:r>
    </w:p>
    <w:p>
      <w:r>
        <w:t>Art. 66a Abs. 1 lit. e StGB sieht für Ausländer, die wegen Betrugs im Bereich einer Sozialversicherung oder der Sozialhilfe oder unrechtmässigen Bezugs von Leistungen einer Sozialversicherung oder der Sozialhilfe verurteilt wurden, die obligatorische Landesverweisung für 5-15 Jahre aus der Schweiz vor. Die obligatorische Landesverweisung greift grundsätzlich ungeachtet der konkreten Tatschwere ( BGE 146 IV 105 E. 3.4.1; 144 IV 332 E. 3.1.3).</w:t>
      </w:r>
    </w:p>
    <w:p>
      <w:r>
        <w:rPr>
          <w:b/>
        </w:rPr>
        <w:t>E. 4.1.2</w:t>
      </w:r>
    </w:p>
    <w:p>
      <w:r>
        <w:t>Gemäss Art. 66a Abs. 2 Satz 1 StGB kann das Gericht ausnahmsweise von einer Landesverweisung absehen, wenn diese für den Ausländer kumulativ einen schweren persönlichen Härtefall bewirken würde und die öffentlichen Interessen an der Landesverweisung gegenüber den privaten Interessen des Ausländers am Verbleib in der Schweiz nicht überwiegen.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je mit Hinweisen).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[Ausländer- und Integrationsgesetz, AIG; SR 142.20] ), die familiären Bindungen des Ausländers in der Schweiz beziehungsweise in der Heimat, die Aufenthaltsdauer, der Gesundheitszustand und die Resozialisierungschancen ( BGE 144 IV 332 E. 3.3.2; Urteile 6B_1069/2023 vom 21. Januar 2025 E. 2.2.2; 6B_625/2024 vom 12. Dezember 2024 E. 3.1.2).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6B_926/2023 vom 13. Januar 2025 E. 5.4.2; 6B_625/2024 vom 12. Dezember 2024 E. 3.1.2; je mit Hinweisen).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rPr>
          <w:b/>
        </w:rPr>
        <w:t>E. 4.1.3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massgeblich auf die verschuldensmässige Natur und Schwere der Tatbegehung, die sich darin manifestierende Gefährlichkeit des Täters für die öffentliche Sicherheit und die Legalprognose abgestellt wird (Urteile 6B_1069/2023 vom 21. Januar 2025 E. 2.2.3; 6B_716/2024 vom 4. Dezember 2024 E. 4.1.3; je mit Hinweisen).</w:t>
      </w:r>
    </w:p>
    <w:p>
      <w:r>
        <w:rPr>
          <w:b/>
        </w:rPr>
        <w:t>E. 4.2</w:t>
      </w:r>
    </w:p>
    <w:p>
      <w:r>
        <w:t>Die Vorinstanz erwägt zusammengefasst, der 61-jährige Beschwerdegegner sei im heutigen Bosnien und Herzegowina geboren und erstmals 1989 als "Saisonnier" in die Schweiz gekommen. Auch wenn seine Integration insbesondere in gesellschaftlicher Hinsicht und damit zusammenhängend bezüglich der Sprachkenntnisse angesichts der jahrzehntelangen Anwesenheitsdauer unterdurchschnittlich ausfalle, sei nicht zu verkennen, dass er seinen Lebensmittelpunkt seit mehr als 30 Jahren in der Schweiz habe, weshalb von einem nicht unerheblichen privaten Interesse des Beschwerdegegners an einem Verbleib in der Schweiz auszugehen sei.</w:t>
      </w:r>
    </w:p>
    <w:p>
      <w:r>
        <w:t>Andererseits habe der Beschwerdegegner mit seinem Verhalten zulasten des schweizerischen Sozialsystems, das primär auf Solidarität und Loyalität und nicht auf Überwachung beruhe, einen finanziellen Nachteil bewirkt. Am Erhalt beziehungsweise an der zweckkonformen Verwendung der Gelder der von der Allgemeinheit getragenen Leistungserbringer und an der Aufrechterhaltung der Funktionalität des Sozialsystems bestehe ein grundsätzliches öffentliches Interesse. Der (Sozialversicherungs-) Betrug als Verbrechen und das damit verbundene Verschulden wiegten vergleichsweise schwer. Allerdings sei zu berücksichtigen, dass der wesentliche Teil des Vermögensschadens im Rahmen des unrechtmässigen Bezugs von Leistungen einer Sozialversicherung mit rund Fr. 20'000.-- und damit einem Vergehen mit einem Strafrahmen von bis zu einem Jahr Freiheitsstrafe oder Geldstrafe angefallen sei, während unter den (vollendeten) Betrug vergleichsweise "nur" rund Fr. 4000.-- fielen. Beim mehrfach versuchten Betrug sei angesichts der Nichtangabe von Vermögenswerten, was bei der Berechnung des Ergänzungsleistungsanspruchs zu einem (zusätzlich) anzurechnenden Vermögensverzehr als Einnahmen geführt hätte, von einem sehr leichten bis leichten Taterfolg auszugehen. Es lägen damit Katalogtaten von keiner erheblichen Schwere vor, was sich auch - "wenn schliesslich aber aufgrund der maximal zulässigen Obergrenze der Tagessätze" - im ausgesprochenen Strafmass widerspiegle. Es bestünden zwar für ein künftiges Wohlverhalten des Beschwerdegegners angesichts der Taten über rund acht Jahre hinweg und der fehlenden nachhaltigen Einsicht sowie aufrichtigen Reue gewisse Bedenken hinsichtlich der Legalbewährung; allerdings lägen auch keine Vorstrafen vor.</w:t>
      </w:r>
    </w:p>
    <w:p>
      <w:r>
        <w:t>Zusammenfassend stünden sich nicht unerhebliche öffentliche Interessen an der Anordnung der Landesverweisung des Beschwerdegegners und ebenso nicht unerhebliche private Interessen desselben am weiteren Verbleib in der Schweiz gegenüber und hielten sich die Waage. Folglich überwögen die öffentlichen Interessen die privaten Interessen des Beschwerdegegners "im Ergebnis gerade noch nicht", womit die Voraussetzungen gemäss Art. 66a Abs. 2 StGB für ein ausnahmsweises Absehen von einer Landesverweisung erfüllt seien.</w:t>
      </w:r>
    </w:p>
    <w:p>
      <w:r>
        <w:rPr>
          <w:b/>
        </w:rPr>
        <w:t>E. 4.3</w:t>
      </w:r>
    </w:p>
    <w:p>
      <w:r>
        <w:t>Das Absehen von einer Landesverweisung hält vor Bundesrecht stand:</w:t>
      </w:r>
    </w:p>
    <w:p>
      <w:r>
        <w:t>Die Vorinstanz hat das Vorliegen des schweren persönlichen Härtefalls im Sinne von Art. 66a Abs. 2 StGB beziehungsweise Art. 8 EMRK nach den massgebenden Kriterien geprüft. Sie setzt sich mit der Anwesenheitsdauer des Beschwerdegegners, seiner gesellschaftlichen und beruflichen Integration in der Schweiz, dem Gesundheitszustand, den Familienverhältnissen und den Wiedereingliederungsmöglichkeiten in seinem Heimatland auseinander. Dass die Vorinstanz wesentliche Gesichtspunkte falsch oder nicht nachvollziehbar gewürdigt hätte, trifft nicht zu. So ist es vertretbar, dass sie angesichts der sehr langen Aufenthaltsdauer des Beschwerdegegners von über 30 Jahren, seiner bisherigen Beachtung der öffentlichen Sicherheit und Ordnung sowie der durchschnittlichen beruflichen Integration einen schweren persönlichen Härtefall annimmt. Folgerichtig nimmt die Vorinstanz in einem weiteren Schritt eine Abwägung zwischen den privaten Interessen des Beschwerdegegners an einem Verbleib in der Schweiz und den öffentlichen Interessen an einer Landesverweisung vor. Inwiefern die Vorinstanz in diesem Zusammenhang die tatsächlichen Grundlagen einer unmassgeblichen Würdigung unterzogen oder ihr Ermessen missbraucht hätte, legt die Beschwerdeführerin nicht hinreichend dar und ist mit Blick auf die vorliegenden Anlasstaten auch nicht ersichtlich. Am Ganzen ändert im Übrigen nichts, dass die auszusprechende Geldstrafe neu 180 Tagessätze beträgt.</w:t>
      </w:r>
    </w:p>
    <w:p>
      <w:r>
        <w:t>Die Beschwerde erweist sich in diesem Punkt als unbegründet.</w:t>
      </w:r>
    </w:p>
    <w:p>
      <w:r>
        <w:rPr>
          <w:b/>
        </w:rPr>
        <w:t>E. 5.1</w:t>
      </w:r>
    </w:p>
    <w:p>
      <w:r>
        <w:t>Im Ergebnis ist die Beschwerde, soweit die Höhe der ausgesprochenen Geldstrafe betreffend, teilweise gutzuheissen. Heisst das Bundesgericht die Beschwerde (teilweise) gut, so entscheidet es in der Sache selbst oder weist diese zu neuer Beurteilung an die Vorinstanz zurück ( Art. 107 Abs. 2 Satz 1 BGG ). Im vorliegenden Fall ist die Angelegenheit spruchreif und kann sofort sowie endgültig zum Abschluss gebracht werden. Die vorinstanzliche Dispositiv-Ziffer 3 ist aufzuheben und insoweit anders zu fassen, als die (bedingte) Geldstrafe neu auf 180 Tagessätze festzusetzen ist.</w:t>
      </w:r>
    </w:p>
    <w:p>
      <w:r>
        <w:t>Im Übrigen ist die Beschwerde abzuweisen, soweit darauf einzutreten ist.</w:t>
      </w:r>
    </w:p>
    <w:p>
      <w:r>
        <w:rPr>
          <w:b/>
        </w:rPr>
        <w:t>E. 5.2</w:t>
      </w:r>
    </w:p>
    <w:p>
      <w:r>
        <w:t>Der Kanton Aargau hat keine Gerichtskosten zu tragen ( Art. 66 Abs. 4 BGG ). Soweit der Beschwerdegegner obsiegt, wird sein Gesuch um unentgeltliche Rechtspflege gegenstandslos, im Übrigen ist es gestützt auf Art. 64 BGG gutzuheissen. Entsprechend sind keine Kosten zu erheben ( Art. 64 Abs. 1 und Art. 66 Abs. 4 BGG ). Nach Art. 68 Abs. 2 BGG hat der Beschwerdegegner vom Kanton Aargau Anspruch auf eine anteilsmässige Parteientschädigung. Aufgrund der unentgeltlichen Verbeiständung ist diese praxisgemäss an seinen Rechtsvertreter auszubezahlen. Dieser ist zudem im Umfang, in dem der Beschwerdegegner unterliegt,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