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7B_1045/2024 vom 1. November 2024</w:t>
      </w:r>
    </w:p>
    <w:p>
      <w:r>
        <w:t>Bundesgericht, 2024-11-01, DE</w:t>
      </w:r>
    </w:p>
    <w:p>
      <w:r>
        <w:rPr>
          <w:b/>
        </w:rPr>
        <w:t xml:space="preserve">Quelle: </w:t>
      </w:r>
      <w:r>
        <w:t>https://mcp.opencaselaw.ch/entscheid/bger_7B_1045_2024</w:t>
      </w:r>
    </w:p>
    <w:p>
      <w:r>
        <w:t>FR: TF 7B_1045/2024 du 1 novembre 2024</w:t>
      </w:r>
    </w:p>
    <w:p>
      <w:r>
        <w:t>IT: TF 7B_1045/2024 del 1 novembre 2024</w:t>
      </w:r>
    </w:p>
    <w:p>
      <w:pPr>
        <w:pStyle w:val="Heading2"/>
      </w:pPr>
      <w:r>
        <w:t>Erwägungen</w:t>
      </w:r>
    </w:p>
    <w:p>
      <w:r>
        <w:rPr>
          <w:b/>
        </w:rPr>
        <w:t>E. 1</w:t>
      </w:r>
    </w:p>
    <w:p>
      <w:r>
        <w:t>Die Staatsanwaltschaft Winterthur/Unterland führt eine Strafuntersuchung gegen A.________ wegen des Verdachts der Nötigung etc. Mit Verfügung vom 6. Mai 2024 ordnete die Staatsanwaltschaft an, eine bei A.________ entnommene Wangenabstrichprobe zu analysieren und davon ein DNA-Profil zu erstellen. Mit Beschluss vom 20. August 2024 trat das Obergericht des Kantons Zürich auf die von A.________ dagegen erhobene Beschwerde nicht ein.</w:t>
      </w:r>
    </w:p>
    <w:p>
      <w:r>
        <w:t>Mit Eingabe vom 25. September 2024 führt A.________ Beschwerde in Strafsachen an das Bundesgericht. Er beantragt, "die Löschfrist seines DNA-Profils sei nicht zu verlängern" und der angefochtene Beschluss sei zur Neubeurteilung an die Vorinstanz zurückzuweisen. Weiter könne und dürfe die menschenunwürdige Behandlung im Gefängnis Zürich West von einem modernen Rechtsstaat nicht toleriert werden. Er beantrage eine Untersuchung. Zudem beantrage er eine Untersuchung gegen die privat wie auch gegen die amtlich bestellten Rechtsanwälte.</w:t>
      </w:r>
    </w:p>
    <w:p>
      <w:r>
        <w:rPr>
          <w:b/>
        </w:rPr>
        <w:t>E. 2</w:t>
      </w:r>
    </w:p>
    <w:p>
      <w:r>
        <w:t>Gemäss Art. 42 Abs. 1 BGG hat die Beschwerde an das Bundesgericht ein Begehren und deren Begründung zu enthalten. In der Beschwerdebegründung ist nach Art. 42 Abs. 2 BGG ,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Streitgegenstand bildet vorliegend einzig der Nichteintretensentscheid der Vorinstanz betreffend Erstellung eines DNA-Profils. Soweit der Beschwerdeführer darüber hinaus andere Umstände thematisiert, ist darauf von vornherein nicht einzutreten.</w:t>
      </w:r>
    </w:p>
    <w:p>
      <w:r>
        <w:t>Die dem Bundesgericht eingereichte Beschwerde genügt sodann auch im Zusammenhang mit der streitgegenständlichen Erstellung des DNA-Profils nicht den gesetzlichen Begründungsanforderungen (vgl. E. 2 hiervor). Die Vorinstanz legt dar, dass sie ihrerseits auf die Beschwerde nicht eingetreten ist, weil die Begründungsanforderungen nicht erfüllt sind. Damit setzt sich der Beschwerdeführer nicht substanziiert auseinander. Er macht lediglich geltend, er habe sich inmitten eines Anwaltswechsels befunden, welcher nicht durch ihn initiiert worden sei. Da die "gesetzten Fristen" nicht verlängert worden seien, habe er sich gezwungen gefühlt, die Beschwerde alleine zu verfassen. Damit zeigt er indessen nicht auf, weshalb das Nichteintreten der Vorinstanz gegen Recht im Sinne von Art. 95 BGG verstossen könnte. Die Beschwerde genügt den gesetzlichen Formerfordernissen offensichtlich nicht. Auf die Beschwerde ist im Verfahren nach Art. 108 BGG nicht einzutreten.</w:t>
      </w:r>
    </w:p>
    <w:p>
      <w:r>
        <w:rPr>
          <w:b/>
        </w:rPr>
        <w:t>E. 4</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