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7B_1042/2025 vom 19. November 2025</w:t>
      </w:r>
    </w:p>
    <w:p>
      <w:r>
        <w:t>Bundesgericht, 2025-11-19, DE</w:t>
      </w:r>
    </w:p>
    <w:p>
      <w:r>
        <w:rPr>
          <w:b/>
        </w:rPr>
        <w:t xml:space="preserve">Quelle: </w:t>
      </w:r>
      <w:r>
        <w:t>https://mcp.opencaselaw.ch/entscheid/bger_7B_1042_2025</w:t>
      </w:r>
    </w:p>
    <w:p>
      <w:r>
        <w:t>FR: TF 7B_1042/2025 du 19 novembre 2025</w:t>
      </w:r>
    </w:p>
    <w:p>
      <w:r>
        <w:t>IT: TF 7B_1042/2025 del 19 novembre 2025</w:t>
      </w:r>
    </w:p>
    <w:p>
      <w:pPr>
        <w:pStyle w:val="Heading2"/>
      </w:pPr>
      <w:r>
        <w:t>Erwägungen</w:t>
      </w:r>
    </w:p>
    <w:p>
      <w:r>
        <w:rPr>
          <w:b/>
        </w:rPr>
        <w:t>E. 1</w:t>
      </w:r>
    </w:p>
    <w:p>
      <w:r>
        <w:t>Mit Verfügung vom 12. September 2025 wies das Obergericht des Kantons Zürich, III. Strafkammer, die Beschwerde von A.________ gegen die Einstellungsverfügung des Statthalteramts Bezirk Meilen vom 5. Oktober 2023 ab, soweit es darauf eintrat. Eine dagegen von A.________ erhobene Beschwerde überwies das Obergericht am 30. September 2025 an das Bundesgericht.</w:t>
      </w:r>
    </w:p>
    <w:p>
      <w:r>
        <w:rPr>
          <w:b/>
        </w:rPr>
        <w:t>E. 2.1</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2.2</w:t>
      </w:r>
    </w:p>
    <w:p>
      <w:r>
        <w:t>Der Beschwerdeführer setzt sich mit der Begründung der Vorinstanz, die zur Abweisung bzw. zum Nichteintreten seiner Beschwerde betreffend die Einstellungsverfügung führte, nicht substanziiert auseinander. Er legt nicht dar, inwiefern die Begründung der Vorinstanz bzw. deren Entscheid selbst rechts- bzw. verfassungswidrig sein soll. Stattdessen behauptet er, Herr B.________ sei systematisch bevorzugt und geschützt worden, während seine "Zeugenschaft und Opferrolle ignoriert worden sei". Soweit der Beschwerdeführer beiläufig den Ausstand der gesamten III. Strafkammer des Obergerichts verlangt, begründet er sein Gesuch in keiner Weise. Einzig der Umstand, dass die Vorinstanz nicht in seinem Sinne entschieden hat, begründet jedenfalls keinen Ausstandsgrund. Im Übrigen kann zwar grundsätzlich gegen alle Mitglieder einer Instanz ein Ausstandsbegehren gestellt werden, nicht jedoch pauschal gegen eine Kollegialbehörde oder gegen alle Mitglieder einer Behörde. Wird der Ausstand eines ganzen Gerichts verlangt, muss der Gesuchsteller die Ausstandsgründe für jede Richterin bzw. jeden Richter einzeln benennen und glaubhaft machen (vgl. BGE 137 V 210 E. 1.3.3; Urteil 7B_42/2024 vom 20. August 2024 E. 2.3; je mit Hinweisen). Die Beschwerde genügt den gesetzlichen Formerfordernissen offensichtlich nicht, weshalb auf sie im vereinfachten Verfahren nach Art. 108 Abs. 1 BGG nicht einzutreten ist.</w:t>
      </w:r>
    </w:p>
    <w:p>
      <w:r>
        <w:rPr>
          <w:b/>
        </w:rPr>
        <w:t>E. 3</w:t>
      </w:r>
    </w:p>
    <w:p>
      <w:r>
        <w:t>Das Gesuch des Beschwerdeführers um unentgeltliche Rechtspflege ist abzuweisen, da sich die Beschwerde als aussichtslos erweist ( Art. 64 Abs. 1 BGG ). Die Gerichtskosten sind dem unterliegenden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