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7B_1041/2024 vom 15. November 2024</w:t>
      </w:r>
    </w:p>
    <w:p>
      <w:r>
        <w:t>Bundesgericht, 2024-11-15, FR</w:t>
      </w:r>
    </w:p>
    <w:p>
      <w:r>
        <w:rPr>
          <w:b/>
        </w:rPr>
        <w:t xml:space="preserve">Quelle: </w:t>
      </w:r>
      <w:r>
        <w:t>https://mcp.opencaselaw.ch/entscheid/bger_7B_1041_2024</w:t>
      </w:r>
    </w:p>
    <w:p>
      <w:r>
        <w:t>FR: TF 7B_1041/2024 du 15 novembre 2024</w:t>
      </w:r>
    </w:p>
    <w:p>
      <w:r>
        <w:t>IT: TF 7B_1041/2024 del 15 novembre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l'autorité précédente a, en substance, retenu que, contrairement à ce que soutenait le recourant, la décision de la DSJS du 9 janvier 2024 reposait sur des bases légales suffisantes et que le prélèvement de 30 fr. par mois sur la part "réservée" de son compte visant à rembourser ses dettes LAVI respectait les limites posées par l' art. 83 al. 2 CP et pouvait raisonnablement être autorisé, quand bien même le recourant s'y opposait.</w:t>
      </w:r>
    </w:p>
    <w:p>
      <w:r>
        <w:rPr>
          <w:b/>
        </w:rPr>
        <w:t>E. 1.3</w:t>
      </w:r>
    </w:p>
    <w:p>
      <w:r>
        <w:t>Face à la motivation cantonale, le recourant - qui se borne à reprendre les mêmes arguments que ceux soulevés devant l'autorité précédente - échoue à démontrer, par une motivation conforme aux exigences en la matière, en quoi le Tribunal cantonal aurait violé le droit fédéral (soit en particulier l' art. 83 CP ) en rejetant son recours contre la décision de la DSJS du 9 janvier 2024. En outre, il conteste le rejet de sa demande d'assistance judiciaire sans pour autant entreprendre de démontrer en quoi les considérations circonstanciées de l'autorité cantonale à cet égard violeraient le droit.</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(art. 64 al. 1 a contrario LTF), ce qui relève également de la compétence du juge unique prévu par l' art. 108 LTF (art. 64 al. 3, 2 e phr., LTF; arrêt 7B_81/2024 du 26 janvier 2024 consid. 2 et les réf. citées).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