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7B_103/2024 vom 8. April 2024</w:t>
      </w:r>
    </w:p>
    <w:p>
      <w:r>
        <w:t>Bundesgericht, 2024-04-08, DE</w:t>
      </w:r>
    </w:p>
    <w:p>
      <w:r>
        <w:rPr>
          <w:b/>
        </w:rPr>
        <w:t xml:space="preserve">Quelle: </w:t>
      </w:r>
      <w:r>
        <w:t>https://mcp.opencaselaw.ch/entscheid/bger_7B_103_2024</w:t>
      </w:r>
    </w:p>
    <w:p>
      <w:r>
        <w:t>FR: TF 7B_103/2024 du 8 avril 2024</w:t>
      </w:r>
    </w:p>
    <w:p>
      <w:r>
        <w:t>IT: TF 7B_103/2024 del 8 aprile 2024</w:t>
      </w:r>
    </w:p>
    <w:p>
      <w:pPr>
        <w:pStyle w:val="Heading2"/>
      </w:pPr>
      <w:r>
        <w:t>Erwägungen</w:t>
      </w:r>
    </w:p>
    <w:p>
      <w:r>
        <w:rPr>
          <w:b/>
        </w:rPr>
        <w:t>E. 1.1</w:t>
      </w:r>
    </w:p>
    <w:p>
      <w:r>
        <w:t>Das Bundesgericht prüft von Amtes wegen und mit freier Kognition, ob auf die Beschwerde eingetreten werden kann (Art. 29 Abs. 1 und Art. 106 Abs. 1 i.V.m. Art. 42 Abs. 1 und 2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1.2</w:t>
      </w:r>
    </w:p>
    <w:p>
      <w:r>
        <w:t>Die per 1. Januar 2024 in Kraft getretene Gesetzesänderung betreffend Siegelungs- bzw. Entsiegelungsverfahren hat keine Auswirkungen auf das vorliegende Urteil. Das Bundesgericht prüft im Rahmen der Beschwerde in Strafsachen nämlich nur, ob die kantonale Instanz das Bundesrecht richtig angewendet hat, mithin jenes Recht, welches die Vorinstanz im angefochtenen Entscheid anwenden musste (Urteil 7B_2/2023 vom 12. März 2024 mit Hinweisen). Massgebend für die Beurteilung der bundesgerichtlichen Beschwerde sind damit weiterhin die Siegelungs- bzw. Entsiegelungsbestimmungen, wie sie bis zum 31. Dezember 2023 galten.</w:t>
      </w:r>
    </w:p>
    <w:p>
      <w:r>
        <w:rPr>
          <w:b/>
        </w:rPr>
        <w:t>E. 1.3</w:t>
      </w:r>
    </w:p>
    <w:p>
      <w:r>
        <w:t>Angefochten ist ein nach aArt. 248 Abs. 3 lit. a StPO kantonal letztinstanzlicher Entscheid eines Zwangsmassnahmengerichts. Dagegen steht gemäss Art. 80 Abs. 2 Satz 3 BGG die Beschwerde in Strafsachen an das Bundesgericht nach Art. 78 ff. BGG grundsätzlich offen.</w:t>
      </w:r>
    </w:p>
    <w:p>
      <w:r>
        <w:rPr>
          <w:b/>
        </w:rPr>
        <w:t>E. 1.4.1</w:t>
      </w:r>
    </w:p>
    <w:p>
      <w:r>
        <w:t>Der angefochtene Entsiegelungsentscheid schliesst das gegen den Beschwerdeführer laufende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w:t>
      </w:r>
    </w:p>
    <w:p>
      <w:r>
        <w:t>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(Urteile 7B_2/2023 vom 12. März 2024 E. 2.3.2; 7B_1003/2023 vom 11. Januar 2024 E. 2.1; 7B_106/2022 vom 16. November 2023 E. 1.2; je mit Hinweisen). Der bloss pauschale Hinweis auf angebliche Privatgeheimnisse begründet dagegen keine schutzwürdigen Geheimnisinteressen im Sinne von aArt. 248 Abs. 1 StPO (Urteile 7B_1003/2023 vom 11. Januar 2024 E. 2.1; 7B_123/2023 vom 29. November 2023 E. 3.1; 7B_292/2023 vom 31. August 2023 E. 2.1; je mit Hinweisen).</w:t>
      </w:r>
    </w:p>
    <w:p>
      <w:r>
        <w:rPr>
          <w:b/>
        </w:rPr>
        <w:t>E. 1.4.2</w:t>
      </w:r>
    </w:p>
    <w:p>
      <w:r>
        <w:t>Der Beschwerdeführer macht geltend, auf den sichergestellten Datenträgern befänden sich die Intimsphäre von ihm und seinen Ex-Freundinnen betreffende Bilder und Korrespondenz mit seinen Eltern. Damit zeigt er nicht auf, dass sich unter den sichergestellten Datenträgern höchstpersönliche private Daten befänden, an denen ein überwiegendes Geheimnisschutzinteresse bestünde. Der Beschwerdeführer hat damit keinen nicht wieder gutzumachenden Nachteil dargetan. Die Sachurteilsvoraussetzung von Art. 93 Abs. 1 lit. a BGG ist nicht erfüllt.</w:t>
      </w:r>
    </w:p>
    <w:p>
      <w:r>
        <w:rPr>
          <w:b/>
        </w:rPr>
        <w:t>E. 2</w:t>
      </w:r>
    </w:p>
    <w:p>
      <w:r>
        <w:t>Auf die Beschwerde ist nicht einzutreten.</w:t>
      </w:r>
    </w:p>
    <w:p>
      <w:r>
        <w:t>Da die Eintretensvoraussetzungen nicht erfüllt sind, muss die Beschwerde des anwaltlich vertretenen Beschwerdeführers als aussichtslos qualifiziert werden. Sein Gesuch um Gewährung der unentgeltlichen Rechtspflege für das Verfahren vor Bundesgericht ist demnach abzuweisen ( Art. 64 Abs. 1 BGG ). Die Gerichtskosten sind dem unterliegenden Beschwerdeführer aufzuerlegen ( Art. 66 Abs. 1 BGG ). Seiner angespannten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