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7B_1039/2024 vom 9. Dezember 2024</w:t>
      </w:r>
    </w:p>
    <w:p>
      <w:r>
        <w:t>Bundesgericht, 2024-12-09, DE</w:t>
      </w:r>
    </w:p>
    <w:p>
      <w:r>
        <w:rPr>
          <w:b/>
        </w:rPr>
        <w:t xml:space="preserve">Quelle: </w:t>
      </w:r>
      <w:r>
        <w:t>https://mcp.opencaselaw.ch/entscheid/bger_7B_1039_2024</w:t>
      </w:r>
    </w:p>
    <w:p>
      <w:r>
        <w:t>FR: TF 7B_1039/2024 du 9 décembre 2024</w:t>
      </w:r>
    </w:p>
    <w:p>
      <w:r>
        <w:t>IT: TF 7B_1039/2024 del 9 dicembre 2024</w:t>
      </w:r>
    </w:p>
    <w:p>
      <w:pPr>
        <w:pStyle w:val="Heading2"/>
      </w:pPr>
      <w:r>
        <w:t>Erwägungen</w:t>
      </w:r>
    </w:p>
    <w:p>
      <w:r>
        <w:rPr>
          <w:b/>
        </w:rPr>
        <w:t>E. 1</w:t>
      </w:r>
    </w:p>
    <w:p>
      <w:r>
        <w:t>Die Staatsanwaltschaft Winterthur/Unterland führte gegen A.________ (nachfolgend: Beschwerdeführer) eine Strafuntersuchung wegen Verdachts auf betrügerischen Missbrauch einer Datenverarbeitungsanlage etc. Mit Verfügung vom 15. Mai 2024 stellte sie das Strafverfahren gegen den Beschwerdeführer ein, wobei die Verfahrenskosten auf die Staatskasse genommen wurden und ihm keine Entschädigung oder Genugtuung zugesprochen wurde. Auf die hiergegen gerichtete Beschwerde trat das Obergericht des Kantons Zürich mit Beschluss vom 29. August 2024 nicht ein. Der Beschwerdeführer wendet sich ans Bundesgericht.</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Die kantonale Beschwerde des Beschwerdeführers richtete sich gegen Dispositiv-Ziffer 4 der staatsanwaltschaftlichen Einstellungsverfügung, in welcher ihm weder eine Entschädigung noch eine Genugtuung ausgerichtet wurde. Die Vorinstanz erwägt, da der Beschwerdeführer in der Beschwerde weder den geltend gemachten Schaden beziffert und belegt noch eine Genugtuung zumindest beziffert habe, sei ihm mit Verfügung vom 23. Juli 2024 eine zehntägige Nachfrist im Sinne von Art. 385 Abs. 2 StPO gesetzt worden, um die Beschwerdeschrift gemäss den gesetzlichen Anforderungen in Bezug auf die Begründung (Art. 385 in Verbindung mit Art. 396 Abs. 1 StPO ) und die Bezifferung ( Art. 429 Abs. 2 StPO ) zu verbessern. Diese per Einschreiben versandte Verfügung sei ihm am 25. Juli 2024 zur Abholung gemeldet worden. In der Folge habe der Beschwerdeführer die Verfügung nicht abgeholt, weshalb sie per 2. August 2024 als zugestellt gelte (vgl. Art. 85 Abs. 4 lit. a StPO ). Die Frist zur Verbesserung habe folglich am 12. August 2024 geendet und innert Frist sei keine verbesserte Beschwerdeschrift seitens des Beschwerdeführers eingegangen, weshalb androhungsgemäss auf die Beschwerde nicht einzutreten sei. Soweit sich der Beschwerdeführer in seiner Eingabe vor Bundesgericht überhaupt auf den vorliegenden Verfahrensgegenstand bezieht, ergibt sich daraus nicht, was am angefochtenen Beschluss in tatsächlicher oder rechtlicher Hinsicht fehlerhaft sein sollte. Der Beschwerdeführer tut jedenfalls nicht dar, dass die Vorinstanz bei ihren tatsächlichen Feststellungen in Willkür verfallen wäre und/oder beim von ihr festgestellten Sachverhalt gegen das Recht verstossen hätte. Damit vermag er den Begründungsanforderungen vor Bundesgericht nicht nachzukommen. Der Begründungsmangel ist offensichtlich ( Art. 42 Abs. 2, Art. 106 Abs. 2 BGG ).</w:t>
      </w:r>
    </w:p>
    <w:p>
      <w:r>
        <w:rPr>
          <w:b/>
        </w:rPr>
        <w:t>E. 4</w:t>
      </w:r>
    </w:p>
    <w:p>
      <w:r>
        <w:t>Auf die Beschwerde ist im Verfahren nach Art. 108 BGG nicht einzutreten. Das Gesuch des Beschwerdeführers um unentgeltliche Rechtspflege ist wegen Aussichtslosigkeit der Beschwerde abzuweisen ( Art. 64 Abs. 1 BGG ). Ihm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