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7B_1038/2023 vom 22. Januar 2024</w:t>
      </w:r>
    </w:p>
    <w:p>
      <w:r>
        <w:t>Bundesgericht, 2024-01-22, DE</w:t>
      </w:r>
    </w:p>
    <w:p>
      <w:r>
        <w:rPr>
          <w:b/>
        </w:rPr>
        <w:t xml:space="preserve">Quelle: </w:t>
      </w:r>
      <w:r>
        <w:t>https://mcp.opencaselaw.ch/entscheid/bger_7B_1038_2023</w:t>
      </w:r>
    </w:p>
    <w:p>
      <w:r>
        <w:t>FR: TF 7B_1038/2023 du 22 janvier 2024</w:t>
      </w:r>
    </w:p>
    <w:p>
      <w:r>
        <w:t>IT: TF 7B_1038/2023 del 22 gennaio 2024</w:t>
      </w:r>
    </w:p>
    <w:p>
      <w:pPr>
        <w:pStyle w:val="Heading2"/>
      </w:pPr>
      <w:r>
        <w:t>Erwägungen</w:t>
      </w:r>
    </w:p>
    <w:p>
      <w:r>
        <w:rPr>
          <w:b/>
        </w:rPr>
        <w:t>E. 1</w:t>
      </w:r>
    </w:p>
    <w:p>
      <w:r>
        <w:t>Mit Urteil vom 20. November 2023 sprach das Strafgericht des Kantons Schwyz den sich seit dem 11. August 2022 in Untersuchungshaft befindlichen A.______ der sexuellen Handlung mit einem Kind ( Art. 187 Ziff. 1 Abs. 1 StGB ), der sexuellen Nötigung ( Art. 189 Abs.1 StGB ) sowie der Pornografie ( Art. 197 Abs. 4 Satz 1 StGB ) schuldig. Es verurteilte ihn hierfür zu einer unbedingten Freiheitsstrafe von 36 Monaten (unter Einbezug eines Strafrests von 153 Tagen und unter Anrechnung von 471 Tagen Haft) sowie einer unbedingten Geldstrafe von 30 Tagessätzen zu Fr. 30.--. Zusätzlich wurde ein lebenslängliches Tätigkeitsverbot, eine 15-jahrige Landesverweisung und eine Verwahrung im Sinne von Art. 64 Abs. 1 StGB angeordnet. Dagegen meldete A.________ fristgerecht Berufung an. Die schriftliche Urteilsbegründung ist noch ausstehend.</w:t>
      </w:r>
    </w:p>
    <w:p>
      <w:r>
        <w:t>Mit separatem Beschluss vom 20. November 2023 verlängerte das Strafgericht die gegen A.________ angeordnete Sicherheitshaft bis am 19. Februar 2024. Die gegen diese Haftverlängerung erhobene Beschwerde wies das Kantonsgericht des Kantons Schwyz mit Beschluss vom 13. Dezember 2023 ab.</w:t>
      </w:r>
    </w:p>
    <w:p>
      <w:r>
        <w:rPr>
          <w:b/>
        </w:rPr>
        <w:t>E. 2</w:t>
      </w:r>
    </w:p>
    <w:p>
      <w:r>
        <w:t>Gegen den Beschluss des Kantonsgerichts vom 13. Dezember 2023 führt A.________ mit Eingabe vom 19. Dezember 2023, ergänzt am 3. und 9. Januar 2024, Beschwerde in Strafsachen an das Bundesgericht. Sinngemäss beantragt er seine Haftentlassung.</w:t>
      </w:r>
    </w:p>
    <w:p>
      <w:r>
        <w:t>Das Bundesgericht verzichtet auf die Einholung von Vernehmlassungen.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Der Beschwerdeführer setzt sich in seiner teilweise nur schwer verständlichen Beschwerdeschrift nicht ansatzweise mit den Erwägungen des angefochtenen Entscheids auseinander. Vielmehr beschränkt er sich darauf, seine Unschuld zu bekräftigen, indem er die Geschehnisse, die zu seiner erstinstanzlichen Verurteilung geführt haben, aus seiner Sichtweise schildert. Vor dem Hintergrund, dass der dringende Tatverdacht gemäss Art. 221 Abs. 1 StPO nach ständiger Rechtsprechung grundsätzlich als erstellt gilt, sobald ein erstinstanzliches Sach-urteil vorliegt (siehe zuletzt: Urteil 7B_706/2023 vom 23. Oktober 2023 E. 3.3 mit Hinweisen), vermag der Beschwerdeführer mit derartiger appellatorischer Kritik von vornherein nicht konkret aufzuzeigen, inwiefern die Begründung der Vorinstanz rechts- bzw. verfassungswidrig sein soll. Die Beschwerde genügt damit den dargelegten gesetzlichen Formerfordernissen offensichtlich nicht, weshalb auf sie im vereinfachten Verfahren nach Art. 108 Abs. 1 lit. b StPO nicht einzutreten ist. Bei diesem Verfahrensausgang wird der Beschwerdeführer kostenpflichtig ( Art. 66 Abs. 1 BGG ). Umständehalber kann ausnahmsweise auf die Auferlegung von Gerichtskosten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