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7B_1035/2025 vom 22. Oktober 2025</w:t>
      </w:r>
    </w:p>
    <w:p>
      <w:r>
        <w:t>Bundesgericht, 2025-10-22, FR</w:t>
      </w:r>
    </w:p>
    <w:p>
      <w:r>
        <w:rPr>
          <w:b/>
        </w:rPr>
        <w:t xml:space="preserve">Quelle: </w:t>
      </w:r>
      <w:r>
        <w:t>https://mcp.opencaselaw.ch/entscheid/bger_7B_1035_2025</w:t>
      </w:r>
    </w:p>
    <w:p>
      <w:r>
        <w:t>FR: TF 7B_1035/2025 du 22 octobre 2025</w:t>
      </w:r>
    </w:p>
    <w:p>
      <w:r>
        <w:t>IT: TF 7B_1035/2025 del 22 ottobre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rPr>
          <w:b/>
        </w:rPr>
        <w:t>E. 1.2.2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En matière d'infractions contre le patrimoine, la partie plaignante ne saurait se contenter de se prévaloir d'avoir été touchée par l'infraction invoquée; elle doit fournir des explications précises sur le dommage éprouvé, sinon le recours est irrecevable (arrêt 7B_77/2022 du 12 décembre 2023 consid. 2.2.1 et les références citées). Si la partie plaignante invoque des infractions distinctes, elle doit en outre mentionner par rapport à chacune d'elles en quoi consiste son dommage (arrêt 7B_1230/2024 du 19 mai 2025 consid. 1.1.2).</w:t>
      </w:r>
    </w:p>
    <w:p>
      <w:r>
        <w:t>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1.2.3</w:t>
      </w:r>
    </w:p>
    <w:p>
      <w:r>
        <w:t>Dans la partie "Recevabilité" de leur mémoire, les recourants, assistés par un mandataire professionnel, se contentent de soutenir avoir la qualité pour recourir "au sens de l' art. 81 al. 1 LTF ", parce qu'ils "ont pris part à la procédure en qualité de parties plaignantes et disposent d'un intérêt juridique à l'annulation ou à la modification de la décision attaquée" (recours, p. 4). Ce faisant, les recourants ne satisfont manifestement pas aux exigences de motivation rappelées ci-dessus. En effet, ils ne fournissent aucune explication relativement aux éventuelles prétentions civiles qu'ils pourraient faire valoir envers l'intimée contre laquelle le</w:t>
      </w:r>
    </w:p>
    <w:p>
      <w:r>
        <w:t>de cujus a porté plainte pour abus de confiance, escroquerie, usure et gestion déloyale. Les quelques montants que les recourants articulent dans les parties intitulées "Préambule" et "Moyens" de leur recours (recours, p. 3 et 7 à 14) ne changent rien à ce qui précède: ils ne permettent pas de comprendre en quoi consisterait le dommage que leur aurait causé chacune des infractions prétendument commises, ni quelle en serait la quotité.</w:t>
      </w:r>
    </w:p>
    <w:p>
      <w:r>
        <w:rPr>
          <w:b/>
        </w:rPr>
        <w:t>E. 1.2.4</w:t>
      </w:r>
    </w:p>
    <w:p>
      <w:r>
        <w:t>Les recourants ne démontrent par conséquent pas avoir qualité pour recourir sur le fond en application de l'art. 81 al. 1 let. a et b ch. 5 LTF.</w:t>
      </w:r>
    </w:p>
    <w:p>
      <w:r>
        <w:rPr>
          <w:b/>
        </w:rPr>
        <w:t>E. 1.3</w:t>
      </w:r>
    </w:p>
    <w:p>
      <w:r>
        <w:t>L'art. 81 al. 1 let. b ch. 6 LTF n'entre pas en considération en l'espèce, dès lors que les recourants ne soulèvent aucun grief concernant leur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w:t>
      </w:r>
    </w:p>
    <w:p>
      <w:r>
        <w:t>En l'occurrence, les recourants ne soulèvent pas de grief de violation de leurs droits de partie pouvant être séparé du fond (recours, p. 7 à 14). Tel est en particulier le cas de leurs griefs de violation de leur droit d'être entendus: ceux-ci visent en effet à démontrer que la cour cantonale aurait arbitrairement rejeté leurs réquisitions de preuves (cf. arrêt 7B_464/2025 du 15 août 2025 consid. 3.1). Les recourants ne disposent ainsi pas non plus de la qualité pour recourir sous cet angle.</w:t>
      </w:r>
    </w:p>
    <w:p>
      <w:r>
        <w:rPr>
          <w:b/>
        </w:rPr>
        <w:t>E. 2</w:t>
      </w:r>
    </w:p>
    <w:p>
      <w:r>
        <w:t>L'irrecevabilité manifeste du recours doit dès lors être constatée dans la procédure prévue par l' art. 108 al. 1 let. a LTF . Les recourants, qui succombent, supporteront les frais judiciaires solidairement entre eux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