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7B_1032/2025 vom 15. Oktober 2025</w:t>
      </w:r>
    </w:p>
    <w:p>
      <w:r>
        <w:t>Bundesgericht, 2025-10-15, DE</w:t>
      </w:r>
    </w:p>
    <w:p>
      <w:r>
        <w:rPr>
          <w:b/>
        </w:rPr>
        <w:t xml:space="preserve">Quelle: </w:t>
      </w:r>
      <w:r>
        <w:t>https://mcp.opencaselaw.ch/entscheid/bger_7B_1032_2025</w:t>
      </w:r>
    </w:p>
    <w:p>
      <w:r>
        <w:t>FR: TF 7B_1032/2025 du 15 octobre 2025</w:t>
      </w:r>
    </w:p>
    <w:p>
      <w:r>
        <w:t>IT: TF 7B_1032/2025 del 15 ottobre 2025</w:t>
      </w:r>
    </w:p>
    <w:p>
      <w:pPr>
        <w:pStyle w:val="Heading2"/>
      </w:pPr>
      <w:r>
        <w:t>Erwägungen</w:t>
      </w:r>
    </w:p>
    <w:p>
      <w:r>
        <w:rPr>
          <w:b/>
        </w:rPr>
        <w:t>E. 1</w:t>
      </w:r>
    </w:p>
    <w:p>
      <w:r>
        <w:t>Mit Beschluss vom 24. September 2025 wies das Obergericht des Kantons Solothurn die Beschwerde des Beschwerdeführers gegen die Nichtanhandnahmeverfügung der Staatsanwaltschaft Solothurn vom 19. August 2025 ab. Der Beschwerdeführer gelangte dagegen mit Beschwerde in Strafsachen vom 1. Oktober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t>Das "superprovisorische Gesuch" des Beschwerdeführers, ihm solle der Führerausweis der Kategorien B und BPT 121 "sofort" wieder erteilt werden (was nicht Prozessgegenstand war; vgl. Art. 80 Abs. 1, Art. 90 BGG ; BGE 142 I 155 E. 4.4.2; 136 II 457 E. 4.2; 136 V 362 E. 3.4.2), wird mit dem vorliegenden Entscheid gegenstandslos.</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