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7B_1024/2025 vom 22. Dezember 2025</w:t>
      </w:r>
    </w:p>
    <w:p>
      <w:r>
        <w:t>Bundesgericht, 2025-12-22, DE</w:t>
      </w:r>
    </w:p>
    <w:p>
      <w:r>
        <w:rPr>
          <w:b/>
        </w:rPr>
        <w:t xml:space="preserve">Quelle: </w:t>
      </w:r>
      <w:r>
        <w:t>https://mcp.opencaselaw.ch/entscheid/bger_7B_1024_2025</w:t>
      </w:r>
    </w:p>
    <w:p>
      <w:r>
        <w:t>FR: TF 7B_1024/2025 du 22 décembre 2025</w:t>
      </w:r>
    </w:p>
    <w:p>
      <w:r>
        <w:t>IT: TF 7B_1024/2025 del 22 dicembre 2025</w:t>
      </w:r>
    </w:p>
    <w:p>
      <w:pPr>
        <w:pStyle w:val="Heading2"/>
      </w:pPr>
      <w:r>
        <w:t>Erwägungen</w:t>
      </w:r>
    </w:p>
    <w:p>
      <w:r>
        <w:rPr>
          <w:b/>
        </w:rPr>
        <w:t>E. 1</w:t>
      </w:r>
    </w:p>
    <w:p>
      <w:r>
        <w:t>Mit Entscheid vom 28. August 2025 wies das Obergericht des Kantons Thurgau das Ausstandsgesuch von A.________ gegen den Vizepräsidenten des Obergerichts Thurgau ab, soweit es darauf eintrat. A.________ gelangte dagegen mit Beschwerde in Strafsachen vom 29. September 2025 an das Bundesgericht.</w:t>
      </w:r>
    </w:p>
    <w:p>
      <w:r>
        <w:rPr>
          <w:b/>
        </w:rPr>
        <w:t>E. 2</w:t>
      </w:r>
    </w:p>
    <w:p>
      <w:r>
        <w:t>Der Beschwerdeführer setzt sich in seiner weitschweifigen und systematisch nur schwer verständlichen Beschwerde nicht in substanziierter Weise mit den Erwägungen der Vorinstanz auseinander, welche zur Abweisung bzw. zum Nichteintreten auf sein Ausstandsgesuch geführt haben. Stattdessen beschränkt er sich darauf, seine eigene Sicht der Dinge darzulegen und wiederholt in der Beschwerdeschrift in unterschiedlicher Form immer wieder dieselben pauschalen Vorwürfe, wonach angeblich zahlreiche Verstösse gegen Gesetze und verfassungsmässige Rechte vorliegen sollen, ohne diese konkret zu begründen oder mit den tragenden Erwägungen des angefochtenen Entscheids in Beziehung zu setzen. Er behauptet insbesondere, es liege eine "unhaltbare und unbegründete Unleserlichkeitsrüge" vor, wobei die Eingabe in "maschinengeschriebener Blockschrift" verfasst gewesen sei, und macht geltend, der Entscheid sei durch Falschangaben "vergiftet". Eine derart rein appellatorische Kritik, die sich weitgehend in Wiederholungen und unsubstanziierten Vorbringen erschöpft, vermag den gesetzlichen Begründungsanforderungen an eine Beschwerde an das Bundesgericht offensichtlich nicht zu genügen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wird der Beschwerdeführer kostenpflichtig ( Art. 66 Abs. 1 BGG ). Sein Gesuch um unentgeltliche Rechtspflege ist gestützt auf Art. 64 BGG wegen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