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7B_1024/2024 vom 5. November 2024</w:t>
      </w:r>
    </w:p>
    <w:p>
      <w:r>
        <w:t>Bundesgericht, 2024-11-05, DE</w:t>
      </w:r>
    </w:p>
    <w:p>
      <w:r>
        <w:rPr>
          <w:b/>
        </w:rPr>
        <w:t xml:space="preserve">Quelle: </w:t>
      </w:r>
      <w:r>
        <w:t>https://mcp.opencaselaw.ch/entscheid/bger_7B_1024_2024</w:t>
      </w:r>
    </w:p>
    <w:p>
      <w:r>
        <w:t>FR: TF 7B_1024/2024 du 5 novembre 2024</w:t>
      </w:r>
    </w:p>
    <w:p>
      <w:r>
        <w:t>IT: TF 7B_1024/2024 del 5 novembre 2024</w:t>
      </w:r>
    </w:p>
    <w:p>
      <w:pPr>
        <w:pStyle w:val="Heading2"/>
      </w:pPr>
      <w:r>
        <w:t>Erwägungen</w:t>
      </w:r>
    </w:p>
    <w:p>
      <w:r>
        <w:rPr>
          <w:b/>
        </w:rPr>
        <w:t>E. 1</w:t>
      </w:r>
    </w:p>
    <w:p>
      <w:r>
        <w:t>Am Bezirksgericht Uster ist ein Strafverfahren wegen Drohung etc. gegen A.________ hängig. Am 30. Juli 2024 verfügte die Verfahrensleitung einen Wechsel der amtlichen Verteidigung von A.________, indem sie Rechtsanwalt B.________ als amtlichen Verteidiger entliess und stattdessen Rechtsanwalt C.________ als neuen amtlichen Verteidiger einsetzte. Gegen diese Verfügung erhob A.________ Beschwerde an das Obergericht des Kantons Zürich. Wegen des ungebührlichen Inhalts der Beschwerde (Ausführungen zum Nationalsozialismus, Vergleiche der Zürcher Strafjustiz mit dem Dritten Reich, Nazisymbolik auf dem Briefcouvert) trat das Obergericht mit Verfügung vom 12. September 2024 auf die Beschwerde nicht ein. Das Obergericht verzichtet auf die Ansetzung einer Nachfrist zur Verbesserung der Beschwerdeschrift, da A.________ in der Vergangenheit in anderen Verfahren auf eine entsprechende Nachfristansetzung jeweils mit weiteren Eingaben mit Bezug auf den Nationalsozialismus reagierte.</w:t>
      </w:r>
    </w:p>
    <w:p>
      <w:r>
        <w:rPr>
          <w:b/>
        </w:rPr>
        <w:t>E. 2</w:t>
      </w:r>
    </w:p>
    <w:p>
      <w:r>
        <w:t>Mit einer undatierten, beim Bundesgericht am 20. September 2024 eingegangenen Eingabe führt A.________ Beschwerde in Strafsachen gegen die Verfügung des Obergerichts vom 12. September 2024. Das Bundesgericht hat auf die Einholung von Vernehmlassungen verzichtet.</w:t>
      </w:r>
    </w:p>
    <w:p>
      <w:r>
        <w:rPr>
          <w:b/>
        </w:rPr>
        <w:t>E. 3</w:t>
      </w:r>
    </w:p>
    <w:p>
      <w:r>
        <w:t>Gemäss Art. 42 Abs. 2 BGG ist in der Begründung einer Beschwerde in gedrängter Form darzulegen, inwiefern der angefochtene Akt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4</w:t>
      </w:r>
    </w:p>
    <w:p>
      <w:r>
        <w:t>Der Beschwerdeführer setzt sich nicht ansatzweise mit den Erwägungen der Vorinstanz auseinander, mit denen diese ihr Nichteintreten auf die kantonale Beschwerde begründet. Stattdessen äussert er in ungebührlicher Art und Weise seinen Unmut über die Vorinstanz (u.a. "diktatorisches NAZI-Regime", "KZ-Aufseher") und seinen neuen amtlichen Verteidiger ("Vertreter der Terroristen STASI Staatsanwaltschaft"). Zudem legt er sinngemäss seine eigene Rechtsauffassung zu den Voraussetzungen für einen Wechsel der amtlichen Verteidigung dar. Solche appellatorische Kritik genügt den dargelegten Begründunganforderungen von vornherein nicht, weshalb auf die Beschwerde im vereinfachten Verfahren nach Art. 108 Abs. 1 lit. b BGG nicht einzutreten ist.</w:t>
      </w:r>
    </w:p>
    <w:p>
      <w:r>
        <w:rPr>
          <w:b/>
        </w:rPr>
        <w:t>E. 5</w:t>
      </w:r>
    </w:p>
    <w:p>
      <w:r>
        <w:t>Angesichts der Aussichtslosigkeit des Verfahrens kann dem sinngemäss gestellten Gesuch um unentgeltliche Rechtspflege nicht entsprochen werden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