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7B_1020/2024 vom 22. Oktober 2024</w:t>
      </w:r>
    </w:p>
    <w:p>
      <w:r>
        <w:t>Bundesgericht, 2024-10-22, FR</w:t>
      </w:r>
    </w:p>
    <w:p>
      <w:r>
        <w:rPr>
          <w:b/>
        </w:rPr>
        <w:t xml:space="preserve">Quelle: </w:t>
      </w:r>
      <w:r>
        <w:t>https://mcp.opencaselaw.ch/entscheid/bger_7B_1020_2024</w:t>
      </w:r>
    </w:p>
    <w:p>
      <w:r>
        <w:t>FR: TF 7B_1020/2024 du 22 octobre 2024</w:t>
      </w:r>
    </w:p>
    <w:p>
      <w:r>
        <w:t>IT: TF 7B_1020/2024 del 22 ottobre 2024</w:t>
      </w:r>
    </w:p>
    <w:p>
      <w:pPr>
        <w:pStyle w:val="Heading2"/>
      </w:pPr>
      <w:r>
        <w:t>Erwägungen</w:t>
      </w:r>
    </w:p>
    <w:p>
      <w:r>
        <w:rPr>
          <w:b/>
        </w:rPr>
        <w:t>E. 1</w:t>
      </w:r>
    </w:p>
    <w:p>
      <w:r>
        <w:t>Conformément à l' art. 54 al. 1 LTF , le présent arrêt sera rendu en français, langue de la décision attaquée, même si le recours a été libellé en allemand comme l'autorise l' art. 42 al. 1 LTF .</w:t>
      </w:r>
    </w:p>
    <w:p>
      <w:r>
        <w:rPr>
          <w:b/>
        </w:rPr>
        <w:t>E. 2.1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consid. 1b; arrêt 7B_572/2024 du 1er octobre 2024 consid. 1.1).</w:t>
      </w:r>
    </w:p>
    <w:p>
      <w:r>
        <w:t>Le Tribunal fédéral ne connaît de la violation des droits fondamentaux que si ce moyen est invoqué et motivé par le recourant ( art. 106 al. 2 LTF ), c'est-à-dire s'il a été expressément soulevé et exposé de manière claire et détaillée ( ATF 143 IV 500 consid. 1.1). De plus,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Les critiques de nature appellatoire sont irrecevables ( ATF 147 IV 73 consid. 4.1.2; 146 IV 114 consid. 2.1; 145 IV 154 consid. 1.1).</w:t>
      </w:r>
    </w:p>
    <w:p>
      <w:r>
        <w:rPr>
          <w:b/>
        </w:rPr>
        <w:t>E. 2.2.1</w:t>
      </w:r>
    </w:p>
    <w:p>
      <w:r>
        <w:t>Il ressort de l'arrêt attaqué qu'une instruction pénale est ouverte contre B.________ pour escroquerie, contrainte, banqueroute frauduleuse et fraude dans la saisie, détournement de valeurs patrimoniales mises sous main de justice, abus de confiance et gestion déloyale.</w:t>
      </w:r>
    </w:p>
    <w:p>
      <w:r>
        <w:t>Dans le cadre de cette instruction, par ordonnance du 15 avril 2024, le Ministère public a placé sous séquestre deux véhicules de marque Audi A4 et BMW X1. Il avait retenu en substance que, bien que détenteur desdits véhicules, le recourant n'en était pas le propriétaire, le contrat de vente qu'il avait conclu avec B.________ (et portant sur les deux véhicules) étant inefficace dans la mesure où c'étaient les sociétés C.________ SA ou D.________ SA qui étaient les réelles propriétaires des véhicules (cf. arrêt attaqué, Faits, let. A. p. 2).</w:t>
      </w:r>
    </w:p>
    <w:p>
      <w:r>
        <w:rPr>
          <w:b/>
        </w:rPr>
        <w:t>E. 2.2.2</w:t>
      </w:r>
    </w:p>
    <w:p>
      <w:r>
        <w:t>Alors que le Ministère public, puis la cour cantonale à sa suite, ont estimé que les véhicules pouvaient valablement être séquestrés en vue de l'exécution d'une créance compensatrice - les conditions de l' art. 263 al. 1 let . e CPP étant réunies (cf. arrêt attaqué, consid. 2.4 p. 5 ss) -, le recourant s'abstient, dans son bref acte de recours, de tout développement propre à faire état d'une violation de la disposition précitée.</w:t>
      </w:r>
    </w:p>
    <w:p>
      <w:r>
        <w:t>Pour le surplus, en tant que le recourant fait référence à la liberté économique garantie par l' art. 27 Cst. - arguant, sans autres détails ou explications, avoir besoin des véhicules pour l'exercice de son activité professionnelle de</w:t>
      </w:r>
    </w:p>
    <w:p>
      <w:r>
        <w:t>Key Account Manager -, il ne présente sur ce point aucun grief répondant aux exigences de motivation déduites de l' art. 106 al. 2 LTF .</w:t>
      </w:r>
    </w:p>
    <w:p>
      <w:r>
        <w:t>Il en va de même dans la mesure où le recourant invoque une violation du principe de la proportionnalité ( art. 5 al. 2 Cst. ). Il ne démontre en particulier pas en quoi la cour cantonale aurait méconnu ce principe en refusant de l'autoriser à consigner un montant de 10'000 fr. (en lieu et place des séquestres des véhicules), étant encore relevé que le recourant ne présente pas non plus de motivation propre à rendre vraisemblable que, par hypothèse, le prononcé d'une créance compensatrice serait d'emblée exclu au regard de l' art. 71 al. 2 CP .</w:t>
      </w:r>
    </w:p>
    <w:p>
      <w:r>
        <w:rPr>
          <w:b/>
        </w:rPr>
        <w:t>E. 2.3</w:t>
      </w:r>
    </w:p>
    <w:p>
      <w:r>
        <w:t>Le recours ne répond ainsi manifestement pas aux exigences de motivation d'un recours en matière pénale au Tribunal fédéral. Il doit dès lors être déclaré irrecevable selon la procédure simplifiée prévue par l' art. 108 al. 1 let. b LTF .</w:t>
      </w:r>
    </w:p>
    <w:p>
      <w:r>
        <w:rPr>
          <w:b/>
        </w:rPr>
        <w:t>E. 3</w:t>
      </w:r>
    </w:p>
    <w:p>
      <w:r>
        <w:t>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