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7B_1017/2023 vom 13. Februar 2024</w:t>
      </w:r>
    </w:p>
    <w:p>
      <w:r>
        <w:t>Bundesgericht, 2024-02-13, DE</w:t>
      </w:r>
    </w:p>
    <w:p>
      <w:r>
        <w:rPr>
          <w:b/>
        </w:rPr>
        <w:t xml:space="preserve">Quelle: </w:t>
      </w:r>
      <w:r>
        <w:t>https://mcp.opencaselaw.ch/entscheid/bger_7B_1017_2023</w:t>
      </w:r>
    </w:p>
    <w:p>
      <w:r>
        <w:t>FR: TF 7B_1017/2023 du 13 février 2024</w:t>
      </w:r>
    </w:p>
    <w:p>
      <w:r>
        <w:t>IT: TF 7B_1017/2023 del 13 febbraio 2024</w:t>
      </w:r>
    </w:p>
    <w:p>
      <w:pPr>
        <w:pStyle w:val="Heading2"/>
      </w:pPr>
      <w:r>
        <w:t>Erwägungen</w:t>
      </w:r>
    </w:p>
    <w:p>
      <w:r>
        <w:rPr>
          <w:b/>
        </w:rPr>
        <w:t>E. 1</w:t>
      </w:r>
    </w:p>
    <w:p>
      <w:r>
        <w:t>Die Regionale Staatsanwaltschaft Berner Jura-Seeland führte ein Strafverfahren gegen D.________ wegen Betrugs zum Nachteil der Beschwerdeführerin. Am 6. Juni 2023 teilte die Staatsanwaltschaft den Parteien mit, dass sie die Untersuchung als vollständig erachte, beabsichtige, das Verfahren einzustellen und gab den Parteien Gelegenheit, Beweisanträge zu stellen. Am 30. Juni 2023 wies sie den Beweisantrag der Straf- und Zivilklägerin um Erkennung diverser Unterlagen zu den Akten ab. Am 10. Juli 2023 wurde die vom 27. Juni 2023 datierende Einstellungsverfügung genehmigt. Gegen beide Verfügungen erhob die Beschwerdeführerin am 17. Juli 2023 Beschwerde beim Obergericht des Kantons Bern. Die Beschwerden gegen die Verfügung betreffend Beweisanträge (Verfahren BK 23 303) und gegen die Einstellungsverfügung (Verfahren BK 23 302) wurden vereinigt. Mit Beschluss vom 28. Juli 2023 trat das Obergericht auf die Beschwerde betreffend Ablehnung des Beweisantrags vom 26. Juni 2023 nicht ein und wies die Beschwerde betreffend Einstellungs-verfügung vom 30. Juni 2023 ab. Die Beschwerdeführerin erhob dagegen am 16. Dezember 2023 Beschwerde in Strafsachen beim Bundesgericht.</w:t>
      </w:r>
    </w:p>
    <w:p>
      <w:r>
        <w:t>Die Beschwerde trägt die elektronische Signatur von B.________, welcher sowohl Verwaltungsratspräsident der A.________ AG, U.________, als auch der C.________ AG, U.________, ist. Die Beschwerde wurde auf Briefpapier der C.________ AG eingereicht. Aufgrund der Umstände steht zweifelsfrei fest, dass die Beschwerde im Namen der A.________ AG erhoben wird: In der Beschwerdeschrift werden die Verfahrensnummern des angefochtenen Beschlusses des Obergerichts vom 28. Juli 2023 angeführt (Verfahren BK 23 302 + 303), in welchem die A.________ AG (und nicht die C.________ AG) als Partei beteiligt war.</w:t>
      </w:r>
    </w:p>
    <w:p>
      <w:r>
        <w:rPr>
          <w:b/>
        </w:rPr>
        <w:t>E. 2</w:t>
      </w:r>
    </w:p>
    <w:p>
      <w:r>
        <w:t>Mit der Beschwerde in Strafsachen kann auch die Verletzung von Verfassungsrecht gerügt werden ( Art. 95 BGG ). Die zusätzlich erhobene subsidiäre Verfassungsbeschwerde ist ausgeschlossen (vgl. Art. 113 BGG ).</w:t>
      </w:r>
    </w:p>
    <w:p>
      <w:r>
        <w:rPr>
          <w:b/>
        </w:rPr>
        <w:t>E. 3</w:t>
      </w:r>
    </w:p>
    <w:p>
      <w:r>
        <w:t>Gegenstand des bundesgerichtlichen Verfahrens ist ausschliesslich die angefochtene Verfügung des Obergerichts vom 16. November 2023 (vgl. Art. 80 Abs. 1, Art. 90 BGG ). Von vornherein nicht zu hören ist die Beschwerdeführerin daher mit Ausführungen und Vorbringen, die ausserhalb des durch den angefochtenen Entscheid begrenzten Streitgegenstands liegen.</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Urteil tritt das Bundesgericht nicht ein ( BGE 147 IV 73 E. 4.1.2 mit Hinweisen).</w:t>
      </w:r>
    </w:p>
    <w:p>
      <w:r>
        <w:t>Die Privatklägerschaft ist zur Beschwerde in Strafsachen nur berechtigt, wenn der angefochtene Entscheid sich auf die Beurteilung ihrer Zivilansprüche auswirken kann (Art. 81 Abs. 1 lit. b Ziff. 5 BGG).</w:t>
      </w:r>
    </w:p>
    <w:p>
      <w:r>
        <w:rPr>
          <w:b/>
        </w:rPr>
        <w:t>E. 5</w:t>
      </w:r>
    </w:p>
    <w:p>
      <w:r>
        <w:t>Was die Beschwerdeführerin in ihrer Eingabe (mit welcher sie gleichzeit Beschwerde gegen Entscheide verschiedener kantonaler Instanzen erhebt) vorbringt, vermag den Begründungsanforderungen nicht zu genügen. Ein inhaltliche Auseinandersetzung mit dem angefochtenen Beschluss fehlt vollständig. Der Eingabe der Beschwerdeführerin lässt sich nicht ansatzweise entnehmen, dass und inwiefern die Vorinstanz mit dem angefochtenen Beschluss gegen das geltende Recht im Sinne von Art. 95 BGG verstossen haben könnte. Ferner mangelt es der Eingabe an einer hinreichenden Begründung, weshalb der Beschwerdeführerin Zivilforderungen zustehen sollen und sie als Privatklägerin im Sinne von Art. 81 Abs. 1 lit. b Ziff. 5 BGG zur Beschwerde berechtigt sein soll.</w:t>
      </w:r>
    </w:p>
    <w:p>
      <w:r>
        <w:rPr>
          <w:b/>
        </w:rPr>
        <w:t>E. 6</w:t>
      </w:r>
    </w:p>
    <w:p>
      <w:r>
        <w:t>Die Beschwerdeführerin rügt ferner keine Verletzung von Verfahrensrechten, deren Missachtung eine formelle Rechtsverweigerung darstellt ("Star-Praxis"; BGE 146 IV 76 E. 2; 141 IV 1 E. 1.1), weshalb auch unter diesem Titel nicht auf die Beschwerde eingetreten werden kann.</w:t>
      </w:r>
    </w:p>
    <w:p>
      <w:r>
        <w:rPr>
          <w:b/>
        </w:rPr>
        <w:t>E. 7</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