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7B_1016/2025 vom 27. Oktober 2025</w:t>
      </w:r>
    </w:p>
    <w:p>
      <w:r>
        <w:t>Bundesgericht, 2025-10-27, FR</w:t>
      </w:r>
    </w:p>
    <w:p>
      <w:r>
        <w:rPr>
          <w:b/>
        </w:rPr>
        <w:t xml:space="preserve">Quelle: </w:t>
      </w:r>
      <w:r>
        <w:t>https://mcp.opencaselaw.ch/entscheid/bger_7B_1016_2025</w:t>
      </w:r>
    </w:p>
    <w:p>
      <w:r>
        <w:t>FR: TF 7B_1016/2025 du 27 octobre 2025</w:t>
      </w:r>
    </w:p>
    <w:p>
      <w:r>
        <w:t>IT: TF 7B_1016/2025 del 27 ottobre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2.1</w:t>
      </w:r>
    </w:p>
    <w:p>
      <w:r>
        <w:t>Le recourant, qui ne remet plus en cause l'existence de soupçons suffisants de culpabilité, invoque une violation de l' art. 221 al. 1 let. a CPP . Il fait valoir que les circonstances du cas d'espèce ne permettraient pas de retenir l'existence d'un risque concret de fuite.</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2.2.2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1bis let. a et b CPP).</w:t>
      </w:r>
    </w:p>
    <w:p>
      <w:r>
        <w:t>Selon l' art. 221 al. 1 let. a CPP , une détention provisoire ou pour des motifs de sûreté peut être ordonnée lorsque le prévenu est fortement soupçonné d'avoir commis un crime ou un délit et qu'il y a sérieusement lieu de craindre qu'il se soustraie à la procédure pénale ou à la sanction prévisible en prenant la fuite.</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w:t>
      </w:r>
    </w:p>
    <w:p>
      <w:r>
        <w:rPr>
          <w:b/>
        </w:rPr>
        <w:t>E. 2.3</w:t>
      </w:r>
    </w:p>
    <w:p>
      <w:r>
        <w:t>L'autorité cantonale, qui s'est pour l'essentiel référée à son arrêt du 28 mai 2025, dès lors qu'aucun élément nouveau n'était survenu depuis lors, a retenu qu'il existait un risque concret de fuite, en raison de l'extrême gravité des faits reprochés au recourant. Elle a ajouté qu'il était désormais renvoyé devant l'autorité de jugement pour assassinat et infraction grave à la LStup, ce qui était de nature à renforcer le risque précité. Elle a également indiqué que les allégations du recourant au sujet de sa diminution de responsabilité au moment des faits, et son incidence - selon lui considérable - sur la peine prévisible, n'étaient que des spéculations qui ne devaient pas entrer en ligne de compte à ce stade. Elle a en outre rappelé que rien ne retenait le recourant en Suisse, dans la mesure où son noyau familial intrinsèque avait éclaté, où ses deux enfants majeurs, avec lesquels il n'avait plus de contact, vivaient à l'étranger et où il avait vendu son cabinet médical. Elle a précisé que les fortes attaches dont l'intéressé se prévalait avec la Suisse, et plus particulièrement à U.________, à savoir sa nationalité et son cursus professionnel, mais aussi ses liens étroits avec sa mère âgée de 93 ans et ses trois frères, n'apparaissaient pas suffisants, compte tenu de la peine conséquente à laquelle il s'exposait, le Ministère public ayant de surcroît annoncé vouloir requérir une peine privative de liberté supérieure à dix ans. À cet égard, elle a relevé que le fait que le recourant n'avait pas de pied-à-terre à l'étranger et qu'il déclarait qu'il n'entendait pas fuir n'y changeait rien et qu'il n'appartenait pas aux autorités pénales de démontrer l'existence d'un plan concret de fuite (arrêt querellé, pp. 12-13).</w:t>
      </w:r>
    </w:p>
    <w:p>
      <w:r>
        <w:rPr>
          <w:b/>
        </w:rPr>
        <w:t>E. 2.4.1</w:t>
      </w:r>
    </w:p>
    <w:p>
      <w:r>
        <w:t>Face à ce raisonnement, le recourant rappelle qu'il possède la nationalité suisse, qu'en cas de départ, il lui serait impossible d'obtenir des papiers d'identité auprès d'autorités étrangères, qu'il est âgé de 57 ans et qu'il serait inenvisageable pour lui de vivre dans la clandestinité. Il rappelle également qu'il est né et a exclusivement vécu en Suisse, où il a grandi, fait ses études, fondé une famille et mené l'intégralité de sa carrière professionnelle, qu'il ne disposerait d'aucune attache à l'étranger et qu'il n'aurait plus de contact avec ses deux enfants majeurs, installés à V.________ et à W.________. Il rappelle encore que son noyau familial, affectif et social se composerait de sa mère, âgée de 93 ans, ainsi que de ses trois frères, que ceux-ci vivraient en Suisse et que ces membres de sa famille composeraient son "tout", qui le retiendrait en Suisse. À cet égard, il fait valoir que l'appréciation de la juridiction cantonale, qui a retenu que ses liens familiaux n'apparaissaient pas suffisants au regard de la peine prévisible, serait arbitraire. Selon le recourant, la préservation de ses liens familiaux devrait l'emporter sur la seule quotité hypothétique de la peine à laquelle il s'expose. Le recourant relève que la cour cantonale n'aurait pas "soutenu" qu'il aurait bénéficié de facteurs permettant ou facilitant sa fuite, ni que son comportement durant la procédure laisserait penser qu'il n'entendrait pas se présenter à son audience et venir se défendre devant les juges, ni qu'il serait résolu à tirer un trait définitif sur sa vie familiale, personnelle et professionnelle. Ce faisant, le recourant se limite pour l'essentiel à opposer sa propre appréciation de la situation à celle de l'autorité cantonale dans une démarche appellatoire et, partant, irrecevable.</w:t>
      </w:r>
    </w:p>
    <w:p>
      <w:r>
        <w:rPr>
          <w:b/>
        </w:rPr>
        <w:t>E. 2.4.2</w:t>
      </w:r>
    </w:p>
    <w:p>
      <w:r>
        <w:t>Dans l'évaluation du risque de fuite, la juridiction cantonale n'a pas ignoré les fortes attaches, en particulier personnelles et familiales, que le recourant avait avec la Suisse. Elle a en effet tenu compte de sa nationalité, de son cursus professionnel, de sa proximité avec U.________, où il avait fondé sa famille, ainsi que de ses liens étroits avec sa mère et ses trois frères. Elle n'a pas non plus ignoré que le recourant n'avait pas de pied-à-terre à l'étranger et qu'il avait mis en avant sa volonté de ne pas fuir. Cela étant, il n'était pas arbitraire de considérer que ces éléments n'étaient pas suffisants pour exclure tout risque de fuite de la part du recourant. Celui-ci s'expose en effet à ce stade à une longue peine privative de liberté. Selon les faits retenus, il est reproché à l'intéressé d'avoir commis des actes extrêmement graves, ce qui lui a valu un renvoi devant le Tribunal criminel pour assassinat, un crime passible d'une peine privative de liberté de dix ans au moins, respectivement de la prison à vie ( art. 112 CP ). Il paraît en outre en l'état avoir agi de manière odieuse et en l'absence particulière de scrupules, dès lors qu'il lui est reproché d'avoir tiré, à l'aide d'un pistolet, à plusieurs reprises sur sa victime, puis d'avoir cherché à se débarrasser de son cadavre, ce qui démontrerait d'ailleurs déjà sa capacité à vouloir se soustraire à la responsabilité de ses actes. Il faut également rappeler que le recourant risque d'être condamné pour infraction grave à la LStup pour avoir détenu une quantité très importante de cocaïne et pour en avoir remis une grande partie à un tiers. On ne peut donc pas exclure, en l'état, que l'intéressé soit condamné à une peine privative de liberté très importante, nettement supérieure à dix ans, et ce même si on tient compte d'une altération partielle de sa responsabilité au moment des faits. Dans ces circonstances, on doit admettre que le recourant, malgré ses dénégations et son argumentation sur ce point, puisse chercher à échapper à son procès et à la peine prévisible, rendant ainsi non seulement possible, mais également probable, une fuite de sa part à l'étranger ou un passage dans la clandestinité. Il y a ainsi concrètement lieu de craindre que, voyant approcher l'éventualité d'une issue peu favorable à son procès - qui se tiendra dans moins de six mois -, l'intéressé préfère fuir ses responsabilités plutôt que de passer les nombreuses prochaines années en prison. Cela vaut d'autant plus que la cour cantonale a relevé à juste titre qu'hormis sa mère et ses trois frères, il n'y avait pas d'autres éléments qui pouvaient le retenir en Suisse, puisqu'il n'avait plus de contact avec ses enfants, qui vivaient à l'étranger, ni évidemment avec sa victime, et qu'il avait vendu son cabinet médical. Ainsi, l'autorité cantonale n'a pas violé le droit fédéral en considérant que le recourant présentait un risque de fuite au sens de l' art. 221 al. 1 let. a CPP .</w:t>
      </w:r>
    </w:p>
    <w:p>
      <w:r>
        <w:rPr>
          <w:b/>
        </w:rPr>
        <w:t>E. 3.1</w:t>
      </w:r>
    </w:p>
    <w:p>
      <w:r>
        <w:t>Le recourant invoque une violation de l' art. 237 al. 1 CPP , voire de l' art. 36 al. 3 Cst. Il fait valoir que des mesures de substitution ( art. 237 CPP ), dont principalement la fourniture de sûretés ( art. 237 al. 1 let. a et 238 CPP ), permettraient de pallier ou à tout le moins de réduire le risque de fuite.</w:t>
      </w:r>
    </w:p>
    <w:p>
      <w:r>
        <w:rPr>
          <w:b/>
        </w:rPr>
        <w:t>E. 3.2.1</w:t>
      </w:r>
    </w:p>
    <w:p>
      <w:r>
        <w:t>Conformément au principe de la proportionnalité ( art. 36 al. 3 Cst. ), il y a lieu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3.2.2</w:t>
      </w:r>
    </w:p>
    <w:p>
      <w:r>
        <w:t>Selon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w:t>
      </w:r>
    </w:p>
    <w:p>
      <w:r>
        <w:t>La libération moyennant des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(arrêts 7B_580/2025 du 21 juillet 2025 consid. 4.3.2; 7B_1009/2023 du 6 février 2024 consid. 6.2.1 et les arrêts cités) - et de la confiance qu'on peut avoir que la perspective de perdre le montant agira comme un frein suffisamment puissant pour écarter toute velléité de fuite (cf. ATF 105 Ia 186 consid. 4a; arrêts 7B_580/2025 du 21 juillet 2025 consid. 4.3.2; 7B_1009/2023 du 6 février 2024 consid. 6.2.1). Il y a également lieu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(arrêts 7B_1009/2023 du 6 février 2024 consid. 6.2.1; 7B_778/2023 du 6 novembre 2023 consid. 2.3.1; 7B_645/2023 du 13 octobre 2023 consid. 3.2.2). Le prévenu détenu n'a pas un droit inconditionnel, fondé sur l' art. 5 par. 3 CEDH , à être libéré moyennant le versement de sûretés;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(arrêts 7B_1009/2023 du 6 février 2024 consid. 6.2.1; 7B_778/2023 du 6 novembre 2023 consid. 2.3.1; CHRISTIAN COQUOZ, in Commentaire romand, Code de procédure pénale suisse, 2</w:t>
      </w:r>
    </w:p>
    <w:p>
      <w:r>
        <w:t>e éd. 2019, n° 2a ad art. 238 CPP et les références citées).</w:t>
      </w:r>
    </w:p>
    <w:p>
      <w:r>
        <w:rPr>
          <w:b/>
        </w:rPr>
        <w:t>E. 3.3</w:t>
      </w:r>
    </w:p>
    <w:p>
      <w:r>
        <w:t>L'autorité cantonale a considéré, concernant les sûretés proposées de 3'200'000 fr., qu'elles n'étaient pas à même d'annihiler totalement le risque de fuite, eu égard aux autres éléments de fortune dont le recourant semblait disposer et dont la valeur n'était pas clairement établie. Elle a en outre estimé que, quand bien même celui-ci ne disposerait, après le versement des sûretés proposées, plus que de 200'000 fr. pour vivre, cette marge financière resterait suffisante pour lui permettre de s'enfuir à l'étranger et de se soustraire, même temporairement, à l'audience de jugement et à l'exécution d'une peine. Pour le reste, la juridiction cantonale a indiqué que le dépôt, à titre de sûretés, de la collection d'art du recourant, qui s'élèverait selon lui à 5'000'000 fr. (alors que sa valeur fiscale s'élève à 519'014 fr.), n'était pas suffisant pour constituer un frein à toute velléité de fuite, dans la mesure où il n'était pas possible de retenir que l'estimation précitée correspondrait à la valeur réelle des objets concernés. Enfin, selon la cour cantonale, les autres mesures de substitution proposées n'étaient pas davantage aptes à pallier le risque de fuite, dès lors qu'elles reposaient uniquement sur la volonté du recourant, seraient difficilement contrôlables et ne permettraient le cas échéant que de constater sa fuite a posteriori (arrêt querellé, pp. 13-14).</w:t>
      </w:r>
    </w:p>
    <w:p>
      <w:r>
        <w:rPr>
          <w:b/>
        </w:rPr>
        <w:t>E. 3.4.1</w:t>
      </w:r>
    </w:p>
    <w:p>
      <w:r>
        <w:t>Le recourant a en particulier conclu au dépôt à titre de sûretés d'une somme de 3'200'000 fr., ainsi que de sa collection d'art, évaluée à 519'014 francs. Il expose qu'il gèlerait tout accès à sa fortune et que cela le placerait dans l'impossibilité de mener une vie de fugitif. Il reproche en outre à l'autorité cantonale d'avoir retenu que le solde de 200'000 fr., après le versement de la caution, demeurerait suffisant pour lui permettre de s'enfuir à l'étranger. Il lui reproche également de ne pas l'avoir interpellé sur une éventuelle extension des mesures de substitution proposées, à savoir notamment la mise en sûreté de l'intégralité de son patrimoine. On comprend ainsi que le recourant est prêt à déposer une caution au sens de l' art. 238 CPP de 3'400'000 fr., montant dont il sous-entend qu'il constituerait l'intégralité de sa fortune.</w:t>
      </w:r>
    </w:p>
    <w:p>
      <w:r>
        <w:rPr>
          <w:b/>
        </w:rPr>
        <w:t>E. 3.4.2</w:t>
      </w:r>
    </w:p>
    <w:p>
      <w:r>
        <w:t>Dans l'arrêt querellé, la juridiction cantonale a retenu que lorsqu'elle avait examiné, dans son arrêt du 28 mai 2025, la caution proposée de 3'500'000 fr., elle avait retenu que la valeur de ses autres éléments de fortune n'était pas clairement établie. Or, le recourant ne conteste pas ce fait, ni invoque une constatation arbitraire des faits sur ce point (cf. art. 97 al. 1 LTF ). Il ne se réfère par ailleurs à aucun autre élément ni à aucune pièce permettant d'établir de manière exacte sa situation financière. Il apparaît dès lors que la situation financière du recourant présente des incertitudes, de sorte que la caution proposée, même très élevée, n'est pas suffisante pour écarter toute velléité de fuite. Cela étant, il y a lieu de considérer que cette somme d'argent, ni de surcroît aucun autre montant, aussi important soit-il, ne peut, à ce stade de la procédure, être à même de contenir le risque de fuite que présente le recourant. On rappelle que celui-ci est notamment renvoyé devant le Tribunal criminel pour assassinat et que l'audience de jugement est agendée prochainement. L'issue du procès est donc proche et le recourant s'expose à une peine considérable. Force est par conséquent de considérer qu'une telle mesure est insuffisante pour réduire totalement le risque qu'il renonce finalement à se présenter aux débats, le cas échéant à se soumettre au jugement qui sera prononcé contre lui. Au demeurant, on précise que, même en cas d'issue du procès la plus favorable pour lui, la durée de la détention préventive du recourant jusqu'à la date de son procès restera en dessous de la peine prévisible et sera conforme au principe de la proportionnalité (cf. art. 212 al. 3 CPP ). Ainsi, il est judicieux de ne pas prendre le risque que le recourant puisse échapper aux autorités de poursuite pénale et de le maintenir en détention pour des motifs de sûreté en prévision de l'audience de jugement. En outre, contrairement à ce que prétend le recourant, on ne voit pas en quoi un tel cadre ne permettrait pas la préparation de son procès dans des conditions adéquates, un tel motif n'étant d'ailleurs pas prévu par les dispositions légales concernant les conditions de la détention provisoire ou pour des motifs de sûreté (cf. art. 221 CPP ). Pour le reste, le recourant n'a formulé ni grief ni motivation au sujet des conclusions qu'il a prises portant sur les autres mesures de substitution relatives au risque de fuite, de sorte qu'elles doivent être déclarées irrecevables (cf. art. 42 al. 2 LTF ; arrêt 7B_1123/2024 du 19 décembre 2024 consid. 2.1.1 et les références citées). Il s'ensuit que la juridiction cantonale n'a pas violé le droit fédéral en considérant que les mesures de substitution proposées par le recourant ne permettaient pas de pallier le risque de fuite.</w:t>
      </w:r>
    </w:p>
    <w:p>
      <w:r>
        <w:rPr>
          <w:b/>
        </w:rPr>
        <w:t>E. 3.5</w:t>
      </w:r>
    </w:p>
    <w:p>
      <w:r>
        <w:t>Le risque de fuite justifiant à lui seul le maintien en détention pour des motifs de sûreté du recourant, il n'est pas nécessaire d'examiner les autres motifs alternatifs de détention invoqués, à savoir le danger de collusion et de réitération (cf. art. 221 al. 1 let. b et c et al. 1</w:t>
      </w:r>
    </w:p>
    <w:p>
      <w:r>
        <w:t>bis CPP; arrêts 7B_144/2025 du 24 mars 2025 consid. 3.3; 7B_300/2024 du 2 avril 2024 consid. 7).</w:t>
      </w:r>
    </w:p>
    <w:p>
      <w:r>
        <w:rPr>
          <w:b/>
        </w:rPr>
        <w:t>E. 4</w:t>
      </w:r>
    </w:p>
    <w:p>
      <w:r>
        <w:t>Le recours doit donc être rejeté dans la mesure où il est recevable.</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