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7B_1005/2024 vom 1. November 2024</w:t>
      </w:r>
    </w:p>
    <w:p>
      <w:r>
        <w:t>Bundesgericht, 2024-11-01, DE</w:t>
      </w:r>
    </w:p>
    <w:p>
      <w:r>
        <w:rPr>
          <w:b/>
        </w:rPr>
        <w:t xml:space="preserve">Quelle: </w:t>
      </w:r>
      <w:r>
        <w:t>https://mcp.opencaselaw.ch/entscheid/bger_7B_1005_2024</w:t>
      </w:r>
    </w:p>
    <w:p>
      <w:r>
        <w:t>FR: TF 7B_1005/2024 du 1 novembre 2024</w:t>
      </w:r>
    </w:p>
    <w:p>
      <w:r>
        <w:t>IT: TF 7B_1005/2024 del 1 novembre 2024</w:t>
      </w:r>
    </w:p>
    <w:p>
      <w:pPr>
        <w:pStyle w:val="Heading2"/>
      </w:pPr>
      <w:r>
        <w:t>Erwägungen</w:t>
      </w:r>
    </w:p>
    <w:p>
      <w:r>
        <w:rPr>
          <w:b/>
        </w:rPr>
        <w:t>E. 1</w:t>
      </w:r>
    </w:p>
    <w:p>
      <w:r>
        <w:t>Am 19. November 2023 erstattete die Beschwerdeführerin, handelnd durch B.________, bei der Staatsanwaltschaft Zofingen-Kulm (nachfolgend: Staatsanwaltschaft) sowie der Regionalpolizei Zofingen Strafanzeige gegen die C.________ AG (nachfolgend: die Beschuldigte) wegen Nötigung. B.________ wurde am 22. November 2023 polizeilich als Auskunftsperson einvernommen. Er stellte gleichentags Strafantrag und konstituierte sich als Zivil- und Strafkläger.</w:t>
      </w:r>
    </w:p>
    <w:p>
      <w:r>
        <w:t>Am 6. Februar 2024 verfügte die Staatsanwaltschaft die Nichtanhandnahme des Verfahrens, was von der Oberstaatsanwaltschaft des Kantons Aargau am 8. Februar 2024 genehmigt wurde. Die von der Beschwerdeführerin am 27. Februar 2024 beim Obergericht des Kantons Aargau (nachfolgend: Obergericht, Vorinstanz) erhobene Beschwerde wurde mit Entscheid vom 25. Juli 2024 abgewiesen.</w:t>
      </w:r>
    </w:p>
    <w:p>
      <w:r>
        <w:t>Dagegen gelangt die Beschwerdeführerin mit Beschwerde in Strafsachen vom 16. September 2024 ans Bundesgericht und beantragt im Hauptpunkt, es sei das Urteil des Obergerichts aufzuheben, es sei die Nichtanhandnahmeverfügung der Staatsanwaltschaft aufzuheben und diese sei anzuweisen, das Strafverfahren gegen die Beschuldigte zu eröffnen. Eventualiter sei das Verfahren zur Neubeurteilung an die Staatsanwaltschaft zurückzuweisen.</w:t>
      </w:r>
    </w:p>
    <w:p>
      <w:r>
        <w:rPr>
          <w:b/>
        </w:rPr>
        <w:t>E. 2</w:t>
      </w:r>
    </w:p>
    <w:p>
      <w:r>
        <w:t>Gegenstand des bundesgerichtlichen Verfahrens ist ausschliesslich der angefochtene Entscheid des Obergerichts vom 25. Juli 2024 (vgl. Art. 80 Abs. 1, Art. 90 BGG ). Soweit mehr verlangt oder thematisiert wird, als von der Vorinstanz beurteilt wurde, ist darauf von vornherein nicht einzutreten (vgl.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4</w:t>
      </w:r>
    </w:p>
    <w:p>
      <w:r>
        <w:t>Die Beschwerde führt im Abschnitt "Formelles" aus, die Beschwerdeführerin sei "als Partei des Verfahrens" zur Beschwerde legitimiert. Näher begründet wird die Legitimation nicht. An anderer Stelle der Beschwerdeschrift wird sodann geltend gemacht, das angeblich strafbare Verhalten der Beschuldigten habe bei der Beschwerdeführerin eine "Schädigung der Bonität" verursacht, wodurch sie "massive wirtschaftliche Schäden" erlitten habe (Beschwerde, S. 5 f.; in den einleitenden Bemerkungen), ihr seien "erhebliche finanzielle und wirtschaftliche Schäden" entstanden (Beschwerde, S. 8; bei den Ausführungen zum angeblichen Betrug), und sie habe durch die Einstellung der Dienstleistungen "schwerwiegende finanzielle Verluste" davongetragen (Beschwerde, S. 10; bei den Ausführungen zur behaupteten Nötigung).</w:t>
      </w:r>
    </w:p>
    <w:p>
      <w:r>
        <w:t>Damit fehlt in der Beschwerde eine hinreichende Begründung, inwiefern der Beschwerdeführerin eine Zivilforderung zustehen und sie als Privatklägerin im Sinne von Art. 81 Abs. 1 lit. b Ziff. 5 BGG zur Beschwerde berechtigt sein soll, was für die Sachlegitimation erforderlich wäre. Selbst wenn das angebliche Verhalten der Beschuldigten für die angeführten "Schäden" kausal wäre, ergibt sich daraus nicht ohne Weiteres ein Zivilanspruch im Sinne von Art. 81 Abs. 1 lit. b Ziff. 5 BGG. Eine solche hätte, insbesondere wenn ein grundsätzlich ersatzfähiger Schaden in Form eines entgangenen Gewinns (vgl. dazu nur BGE 132 III 379 E. 3.3.3) geltend gemacht werden sollte (was die Beschwerdeführerin nicht einmal behauptet), eine eingehende Begründung, namentlich der Anspruchsvoraussetzungen, erfordert. Vor allem der erlittene Schaden wäre genau zu substanziieren und, soweit möglich, zu beziffern gewesen (vgl. Urteile 7B_182/2024 vom 26. März 2024 E. 2.1.2; 7B_18/2024 vom 14. März 2024 E. 2; 7B_79/2022 vom 10. Januar 2024 E. 1.1 und 1.3; je mit Hinweisen). Entsprechende Ausführungen fehlen in der Beschwerde jedoch vollständig. Damit kommt sie den Begründungsanforderungen offensichtlich nicht hinreichend nach, weshalb nicht auf die Beschwerde einzutreten ist.</w:t>
      </w:r>
    </w:p>
    <w:p>
      <w:r>
        <w:rPr>
          <w:b/>
        </w:rPr>
        <w:t>E. 5</w:t>
      </w:r>
    </w:p>
    <w:p>
      <w:r>
        <w:t>Die Beschwerdeführerin rügt ferner keine Verletzung von Verfahrensrechten, deren Missachtung einer formellen Rechtsverweigerung gleichkommt ("Star-Praxis"; BGE 146 IV 76 E. 2; 141 IV 1 E. 1.1), weshalb auch unter diesem Titel nicht auf die Beschwerde einzutreten ist.</w:t>
      </w:r>
    </w:p>
    <w:p>
      <w:r>
        <w:rPr>
          <w:b/>
        </w:rPr>
        <w:t>E. 6</w:t>
      </w:r>
    </w:p>
    <w:p>
      <w:r>
        <w:t>Auf die Beschwerde ist mangels hinreichender Begründung der Legitimation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