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1003/2024 vom 14. Oktober 2024</w:t>
      </w:r>
    </w:p>
    <w:p>
      <w:r>
        <w:t>Bundesgericht, 2024-10-14, FR</w:t>
      </w:r>
    </w:p>
    <w:p>
      <w:r>
        <w:rPr>
          <w:b/>
        </w:rPr>
        <w:t xml:space="preserve">Quelle: </w:t>
      </w:r>
      <w:r>
        <w:t>https://mcp.opencaselaw.ch/entscheid/bger_7B_1003_2024</w:t>
      </w:r>
    </w:p>
    <w:p>
      <w:r>
        <w:t>FR: TF 7B 1003/2024 du 14 octobre 2024</w:t>
      </w:r>
    </w:p>
    <w:p>
      <w:r>
        <w:t>IT: TF 7B 1003/2024 del 14 ottobre 2024</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En outre, la décision entreprise, en tant que décision incidente, peut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1.2</w:t>
      </w:r>
    </w:p>
    <w:p>
      <w:r>
        <w:t>Le recourant invoque un fait qui serait survenu postérieurement à l'arrêt attaqué, à savoir la "confrontation du prévenu" intervenue le 9 septembre 2024. Il s'agit d'un fait nouveau et, par conséquent, irrecevable (cf. art. 99 al. 1 LTF ).</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3.1</w:t>
      </w:r>
    </w:p>
    <w:p>
      <w:r>
        <w:t>Le recourant soutient tout d'abord que les circonstances décrites par l'autorité cantonale ne suffiraient pas à fonder l'existence de soupçons suffisants de culpabilité contre lui au sens de l' art. 221 al. 1 CPP .</w:t>
      </w:r>
    </w:p>
    <w:p>
      <w:r>
        <w:rPr>
          <w:b/>
        </w:rPr>
        <w:t>E. 3.2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143 IV 316 consid. 3.1 et 3.2; arrêt 7B_571/2024 du 6 juin 2024 consid. 2.2 et l'arrêt cité). Il incombe en effet au juge du fond de résoudre les questions de qualification juridique des faits poursuivis, d'apprécier la culpabilité du prévenu, ainsi que la valeur probante des moyens de preuve (arrêt 7B_571/2024 du 6 juin 2024 consid. 2.2 et l'arrêt cité). Le juge de la détention ne tient donc en principe pas compte d'un alibi, sous réserve de sa démonstration par une preuve immédiatement disponible ( ATF 143 IV 330 consid. 2.1; arrêt 1B_55/2023 du 16 février 2023 consid. 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arrêt 7B_571/2024 du 6 juin 2024 consid. 2.2).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7B_571/2024 du 6 juin 2024 consid. 2.2 et les arrêts cités).</w:t>
      </w:r>
    </w:p>
    <w:p>
      <w:r>
        <w:rPr>
          <w:b/>
        </w:rPr>
        <w:t>E. 3.3</w:t>
      </w:r>
    </w:p>
    <w:p>
      <w:r>
        <w:t>L'autorité cantonale a retenu qu'il existait des soupçons suffisants de culpabilité justifiant de placer le recourant en détention provisoire. Elle a relevé que celui-ci avait été surpris par la police alors qu'il se trouvait, en compagnie de B.________, dans un appartement qui n'était le domicile d'aucun de ces deux hommes et qui contenait de la drogue destinée à la vente, du matériel de conditionnement et des valeurs, dont 2'640 francs. Elle a ajouté que la police avait observé B.________ conditionner des stupéfiants, que le recourant avait lâché les stupéfiants qu'il tenait à la main à l'arrivée de la police et qu'il détenait sur lui plusieurs sommes d'argent, en francs, en euros et en livres sterling. Elle a également indiqué que deux clients s'étaient rendus dans cet appartement pour y acheter de la drogue auprès de B.________. La cour cantonale a considéré que ces circonstances permettaient de soupçonner que l'appartement en question abritait un important trafic de stupéfiants, de même que la participation du recourant à ce trafic. Elle a en outre précisé que le fait que les acheteurs n'aient pas mis en cause ce dernier ne modifiait pas ce constat. Enfin, elle a retenu que les explications du recourant, selon lesquelles les stupéfiants qu'il détenait étaient destinés à sa propre consommation et à celle d'amis, prévue dans les jours suivants à W.________, n'étaient pas de nature à amoindrir les soupçons qui pesaient sur lui, en précisant que la véracité de ces explications allait prochainement être vérifiée au moyen de la confrontation des prévenus et de l'analyse des téléphones mobiles de l'intéressé (cf. arrêt attaqué, consid. 2.2).</w:t>
      </w:r>
    </w:p>
    <w:p>
      <w:r>
        <w:rPr>
          <w:b/>
        </w:rPr>
        <w:t>E. 3.4</w:t>
      </w:r>
    </w:p>
    <w:p>
      <w:r>
        <w:t>Dans son argumentation, le recourant indique notamment que les clients entendus auraient uniquement mis en cause B.________, et non lui-même, et que seul le prénommé aurait été observé par la police en train de conditionner de la drogue. Il ajoute qu'il se serait rendu pour la première fois dans l'appartement dans lequel il a été arrêté sans savoir que B.________ se livrait à un trafic de stupéfiants, qu'il n'aurait aucun antécédent pour le type d'infractions pour lesquelles il est mis en cause et qu'on ne pourrait lui reprocher qu'une consommation occasionnelle de stupéfiants, de sorte qu'aucun élément ressortant de la procédure ne permettrait de le lier à un trafic de telles substances. Il expose enfin que les explications qu'il a formulées - à savoir qu'il se serait rendu dans l'appartement uniquement pour discuter avec son ami, qu'il ne savait pas que celui-ci était un trafiquant de stupéfiants et qu'il ne consommerait de drogue qu'à des occasions festives - seraient claires et constantes et, par conséquent, à même d'amoindrir les soupçons qui pèsent sur lui concernant les infractions qui lui sont reprochées.</w:t>
      </w:r>
    </w:p>
    <w:p>
      <w:r>
        <w:rPr>
          <w:b/>
        </w:rPr>
        <w:t>E. 3.5</w:t>
      </w:r>
    </w:p>
    <w:p>
      <w:r>
        <w:t>Par cette argumentation, le recourant échoue à remettre en cause le raisonnement de l'autorité cantonale. Il se limite en effet à critiquer l'appréciation de cette dernière, ainsi qu'à y opposer sa propre version et sa propre interprétation des faits. On relève pour le surplus que le recourant estime que la cour cantonale n'aurait pas retenu certains éléments de fait. Il ne se plaint toutefois pas clairement d'un établissement arbitraire, respectivement manifestement inexact, des faits à cet égard. Il n'explique pas non plus en quoi ces éléments seraient à même de modifier la décision entreprise, mais se borne à affirmer que ce serait à tort que la cour cantonale n'en a pas tenu compte dans l'analyse des conditions de sa détention provisoire. Il livre ainsi une argumentation insuffisamment motivée et essentiellement appellatoire, qui est, partant, irrecevable (cf. art. 42 al. 2 et 106 al. 2 LTF). De plus, à lire la motivation de la juridiction cantonale, il apparaît que celle-ci a mentionné la plupart des éléments cités par le recourant. L'autorité cantonale a, contrairement à ce qu'expose le recourant, retenu, d'une part, que les clients entendus au début de l'enquête ne l'avaient pas mis en cause et, d'autre part, que seul son comparse avait été vu conditionner des produits stupéfiants. Par ailleurs, on peut relever que les éléments mis en avant par le recourant, dont l'absence d'antécédents en matière de stupéfiants et son éventuelle situation stable en Suisse, ne permettent aucunement, au vu de la motivation cantonale, d'écarter l'existence de soupçons suffisants de culpabilité pesant sur lui. Il apparaît que l'autorité cantonale pouvait sans arbitraire retenir que l'appartement dans lequel le recourant avait été interpellé était utilisé dans le cadre d'un trafic de stupéfiants. La police y a en effet vu B.________ conditionner de la drogue et y a découvert non seulement plusieurs types de stupéfiants, mais aussi du matériel de conditionnement, à savoir une balance et des sachets, ainsi que des valeurs en espèces. À cela s'ajoute que deux clients se sont rendus dans l'appartement en question, le premier durant l'observation policière et le second pendant la perquisition. En outre, selon les faits retenus, le recourant a lui-même été observé en train de manipuler des stupéfiants, puisqu'il a lâché ceux qu'il tenait dans sa main lors de l'arrivée de la police. De plus, il était en possession de plusieurs sommes d'argent en liquide, ce qui est de nature à renforcer le fait qu'il pourrait s'adonner à un trafic de stupéfiants. Enfin, on peut rappeler au recourant que la cour cantonale, en sa qualité de juge de la détention, doit uniquement apprécier la valeur probante des moyens de preuve, dont les déclarations de l'intéressé, sous l'angle de la vraisemblance et qu'elle pouvait dès lors, à ce stade de l'instruction et au regard des éléments en sa possession, valablement écarter ces dernières au bénéfice des autres éléments au dossier. Il s'ensuit que la juridiction cantonale n'a pas violé l' art. 221 al. 1 CPP en considérant qu'il existait en l'espèce des charges suffisantes contre le recourant.</w:t>
      </w:r>
    </w:p>
    <w:p>
      <w:r>
        <w:rPr>
          <w:b/>
        </w:rPr>
        <w:t>E. 4.1</w:t>
      </w:r>
    </w:p>
    <w:p>
      <w:r>
        <w:t>Le recourant remet ensuite en cause l'existence d'un risque de collusion ( art. 221 al. 1 let. b CPP ).</w:t>
      </w:r>
    </w:p>
    <w:p>
      <w:r>
        <w:rPr>
          <w:b/>
        </w:rPr>
        <w:t>E. 4.2</w:t>
      </w:r>
    </w:p>
    <w:p>
      <w:r>
        <w:t>Conformément à l' art. 221 al. 1 let. b CPP , la détention provisoire ou pour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 ses liens avec les autres prévenus;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 ATF 137 IV 122 consid. 4.2; 132 I 21 consid. 3.2; arrêt 7B_582/2024 du 11 juin 2024 consid. 3.1).</w:t>
      </w:r>
    </w:p>
    <w:p>
      <w:r>
        <w:rPr>
          <w:b/>
        </w:rPr>
        <w:t>E. 4.3</w:t>
      </w:r>
    </w:p>
    <w:p>
      <w:r>
        <w:t>La cour cantonale a estimé qu'à ce stade précoce de l'instruction, il se justifiait d'empêcher le recourant d'entrer en contact avec les personnes impliquées dans le trafic de stupéfiants qui venait d'être mis à jour. Elle a considéré que le fait que le recourant ait fourni aux enquêteurs les accès à ses téléphones mobiles saisis ne l'empêchait pas de parler de vive voix aux éventuels autres participants ou clients et ainsi de les influencer. Elle a ajouté que l'analyse des téléphones mobiles n'ayant pas encore eu lieu, on ignorait encore le contenu des conversations téléphoniques orales et écrites du recourant. Selon la juridiction cantonale, le risque de compromettre la recherche de la vérité était ainsi très élevé et la libération du recourant pouvait mettre à mal les mesures d'instruction ordonnées (cf. arrêt attaqué, consid. 3.2).</w:t>
      </w:r>
    </w:p>
    <w:p>
      <w:r>
        <w:rPr>
          <w:b/>
        </w:rPr>
        <w:t>E. 4.4</w:t>
      </w:r>
    </w:p>
    <w:p>
      <w:r>
        <w:t>Le recourant objecte à cela que les deux clients présents lors de l'intervention policière auraient uniquement identifié B.________ et qu'il n'existerait aucun élément permettant de penser que d'autres personnes seraient impliquées ou qui le lierait à un éventuel trafic de stupéfiants. Il ajoute que sa présence dans l'appartement ne saurait suffire à l'impliquer autrement que comme un potentiel consommateur occasionnel et qu'on ne saurait retenir que l'analyse de son téléphone apporterait quoi que ce soit d'utile à l'enquête. Il considère ainsi qu'un risque de collusion serait totalement abstrait et ne reposerait sur aucun motif objectif.</w:t>
      </w:r>
    </w:p>
    <w:p>
      <w:r>
        <w:rPr>
          <w:b/>
        </w:rPr>
        <w:t>E. 4.5</w:t>
      </w:r>
    </w:p>
    <w:p>
      <w:r>
        <w:t>La brève argumentation du recourant relative au risque de collusion est impropre à remettre en cause l'appréciation de la cour cantonale. Le recourant se limite en effet à rappeler qu'il n'existerait pas d'éléments permettant de le lier au trafic de stupéfiants découvert le 8 août 2024 et que le risque de collusion serait ainsi totalement abstrait. Dans la mesure où des soupçons suffisants pèsent sur le recourant quant à sa participation à un éventuel trafic de stupéfiants (cf consid. 3.5 supra ), le risque qu'il puisse prendre contact avec d'autres personnes impliquées dans ledit trafic est patent. La saisie des téléphones mobiles du recourant par la police et le fait qu'il ait transmis ses codes d'accès ne suffisent en effet pas à garantir qu'il ne puisse pas échanger en personne avec d'autres individus concernés par les faits reprochés. Il apparaît par ailleurs qu'une analyse d es téléphones mobiles du recourant est prévue, mais qu'elle n'a pas encore eu lieu. Ainsi, il résulte de ce qui précède que c'est à juste titre que la juridiction cantonale a considéré qu'à ce stade précoce de l'instruction, il existait un risque que le recourant, s'il était remis en liberté, compromette la recherche de la vérité en contactant d'éventuelles personnes impliquées dans le trafic de stupéfiants auquel il aurait participé. Par conséquent, l'autorité cantonale n'a pas violé le droit fédéral en considérant que le recourant présentait un risque de collusion au sens de l' art. 221 al. 1 let. b CPP .</w:t>
      </w:r>
    </w:p>
    <w:p>
      <w:r>
        <w:rPr>
          <w:b/>
        </w:rPr>
        <w:t>E. 4.6</w:t>
      </w:r>
    </w:p>
    <w:p>
      <w:r>
        <w:t>Au demeurant, le recourant invoque à plusieurs reprises une violation de la présomption d'innocence. Il reproche en substance à l'autorité cantonale d'avoir confirmé sa détention provisoire en "l'absence totale de tout contrôle effectif" et "avant même tout acte d'enquête". L'argumentation du recourant est manifestement erronée dès lors qu'au regard de ce qui précède, il existe des soupçons suffisants et un risque de collusion. Le principe de la présomption d'innocence n'a ainsi pas été violé.</w:t>
      </w:r>
    </w:p>
    <w:p>
      <w:r>
        <w:rPr>
          <w:b/>
        </w:rPr>
        <w:t>E. 5.1</w:t>
      </w:r>
    </w:p>
    <w:p>
      <w:r>
        <w:t>Le recourant reproche enfin à la cour cantonale d'avoir violé le principe de la proportionnalité en écartant toute possibilité de prononcer des mesures de substitution.</w:t>
      </w:r>
    </w:p>
    <w:p>
      <w:r>
        <w:rPr>
          <w:b/>
        </w:rPr>
        <w:t>E. 5.2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7B_810/2024 du 23 août 2024 consid 4.2.1; 7B_619/2024 du 9 juillet 2024 consid. 3.4.1). Selon l' art. 237 al. 2 CPP , font notamment partie des mesures de substitution la saisie des documents d'identité (let. b), l'assignation à résidence ou l'interdiction de se rendre dans un certain lieu ou un certain immeuble (let. c), l'obligation de se présenter régulièrement à un service administratif (let. d)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5.3</w:t>
      </w:r>
    </w:p>
    <w:p>
      <w:r>
        <w:t>Le recourant soutient que ce serait à tort que la cour cantonale a retenu qu'on ignorait l'identité des autres personnes concernées par le trafic de stupéfiants en cause. Il rappelle que B.________ et les deux clients seraient identifiés et affirme qu'aucun autre élément ne laisserait penser que d'autres personnes seraient impliquées. Il ajoute que le risque de collusion ne devrait s'analyser qu'en rapport avec les personnes identifiées dans le cadre de la procédure et qu'une interdiction de contact avec ces dernières suffirait à le pallier, ce d'autant plus que ses téléphones mobiles sont en main de la police.</w:t>
      </w:r>
    </w:p>
    <w:p>
      <w:r>
        <w:rPr>
          <w:b/>
        </w:rPr>
        <w:t>E. 5.4</w:t>
      </w:r>
    </w:p>
    <w:p>
      <w:r>
        <w:t>En l'espèce, c'est avec raison que la cour cantonale a considéré qu'aucune mesure de substitution n'entrait en considération. Au vu de l'existence de soupçons suffisants pesant sur le recourant quant à sa participation à un éventuel trafic de stupéfiants (cf. consid. 3.5 supra ), une interdiction d'entrer en contact avec les personnes concernées serait inopérante et particulièrement difficile à contrôler, notamment compte tenu du stade précoce de la procédure et du fait qu'on ignore encore l'identité des personnes potentiellement concernées. Quoi qu'en dise le recourant, le risque qu'il puisse prendre contact avec d'autres individus éventuellement impliqués dans le trafic de stupéfiants en cause ne saurait être pallié par cette mesure de substitution, ni par le fait que ses téléphones mobiles sont actuellement en main de la police. S'agissant des autres mesures de substitution proposées par le recourant - à savoir l'obligation de déférer à toute convocation du pouvoir judiciaire, le dépôt de son passeport, l'obligation de résider au logement conjugal, l'interdiction de quitter le territoire suisse, l'obligation de prendre contact avec le Service de probation et d'insertion immédiatement après sa sortie pour mettre en place son suivi, l'obligation de se soumettre à des contrôles visant à attester sa présence en Suisse et l'obligation de suivre les règles ordonnées par le Service de probation et d'insertion dans le cadre du suivi des mesures de substitution - on ajoute, en accord avec la cour cantonale (cf. arrêt attaqué, consid. 5.2), qu'elles visent toutes à pallier un risque de fuite et non de collusion. On ne discerne ainsi aucune violation du principe de la proportionnalité.</w:t>
      </w:r>
    </w:p>
    <w:p>
      <w:r>
        <w:rPr>
          <w:b/>
        </w:rPr>
        <w:t>E. 6</w:t>
      </w:r>
    </w:p>
    <w:p>
      <w:r>
        <w:t>Le recours doit donc être rejeté dans la mesure où il est recevable. Le recourant a demandé l'octroi de l'assistance judiciaire (cf. art. 64 al. 1 LTF ). Son recours était cependant d'emblée dénué de chances de succès, de sorte que sa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