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1003/2023 vom 11. Januar 2024</w:t>
      </w:r>
    </w:p>
    <w:p>
      <w:r>
        <w:t>Bundesgericht, 2024-01-11, DE</w:t>
      </w:r>
    </w:p>
    <w:p>
      <w:r>
        <w:rPr>
          <w:b/>
        </w:rPr>
        <w:t xml:space="preserve">Quelle: </w:t>
      </w:r>
      <w:r>
        <w:t>https://mcp.opencaselaw.ch/entscheid/bger_7B_1003_2023</w:t>
      </w:r>
    </w:p>
    <w:p>
      <w:r>
        <w:t>FR: TF 7B 1003/2023 du 11 janvier 2024</w:t>
      </w:r>
    </w:p>
    <w:p>
      <w:r>
        <w:t>IT: TF 7B 1003/2023 del 11 gennaio 2024</w:t>
      </w:r>
    </w:p>
    <w:p>
      <w:pPr>
        <w:pStyle w:val="Heading2"/>
      </w:pPr>
      <w:r>
        <w:t>Regeste</w:t>
      </w:r>
    </w:p>
    <w:p>
      <w:r>
        <w:t>Entsiegelung und Durchsuchung | Strafprozess</w:t>
      </w:r>
    </w:p>
    <w:p>
      <w:pPr>
        <w:pStyle w:val="Heading2"/>
      </w:pPr>
      <w:r>
        <w:t>Erwägungen</w:t>
      </w:r>
    </w:p>
    <w:p>
      <w:r>
        <w:rPr>
          <w:b/>
        </w:rPr>
        <w:t>E. 1</w:t>
      </w:r>
    </w:p>
    <w:p>
      <w:r>
        <w:t>Angefochten ist ein letztinstanzlicher kantonaler Entsiegelungsentscheid eines Zwangsmassnahmengerichts, gegen den die Beschwerde in Strafsachen an das Bundesgericht grundsätzlich offensteht ( Art. 80 Abs. 2 Satz 3 BGG i.V.m. Art. 248 Abs. 3 StPO ). Zu prüfen ist, ob und inwieweit die weiteren gesetzlichen Sachurteilsvoraussetzungen erfüllt sind ( Art. 78 ff. BGG ). Das Bundesgericht beurteilt diese Frage von Amtes wegen und mit freier Kognition (Art. 29 Abs. 1 und Art. 106 Abs. 1 i.V.m. Art. 42 Abs. 1-2 BGG ; BGE 145 I 239 E. 2; 142 IV 196 E. 1.1; je mit Hinweisen).</w:t>
      </w:r>
    </w:p>
    <w:p>
      <w:r>
        <w:rPr>
          <w:b/>
        </w:rPr>
        <w:t>E. 2.1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141 IV 289 E. 1.1-1.2 mit Hinweisen; nicht amtl. publ. E. 1 von BGE 144 IV 74 , E. 2.1 von BGE 143 IV 270 , und E. 2 von BGE 142 IV 207 ). 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141 IV 77 E. 4.3, E. 5.5.3 und E. 5.6; je mit Hinweisen). Die Sachurteilsvoraussetzungen der Beschwerde in Strafsachen an das Bundesgericht sind in der Beschwerdeschrift ausreichend zu substanziieren, soweit sie nicht offensichtlich erfüllt erscheinen ( Art. 42 Abs. 1-2 BGG ; BGE 141 IV 1 E. 1.1, 284 E. 2.3, 289 E. 1.3; je mit Hinweisen). Pauschale Hinweise auf angebliche Privatgeheimnisse genügen nach ständiger Praxis des Bundesgerichts nicht zur Substanziierung von konkreten schutzwürdigen Geheimnisinteressen (Urteile 7B_222/2023 vom 31. Oktober 2023 E. 2.1; 7B_107/2022 vom 12. September 2023 E. 2.1; je mit Hinweisen).</w:t>
      </w:r>
    </w:p>
    <w:p>
      <w:r>
        <w:rPr>
          <w:b/>
        </w:rPr>
        <w:t>E. 2.2</w:t>
      </w:r>
    </w:p>
    <w:p>
      <w:r>
        <w:t>Schon die Vorinstanz hat erwogen, dass der Beschwerdeführer zwar vorinstanzlich pauschal den Schutz seiner Privatsphäre geltend gemacht habe, der in tiefgreifender Weise durch eine Entsiegelung zu verletzen drohe. Ein konkretes Geheimhaltungsinteresse habe er aber weder behauptet noch sei ein solches ersichtlich. Das blosse Interesse, dass private und persönliche Inhalte nicht gesichtet werden, genüge jedenfalls nicht. Dem ist beizupflichten. Was der Beschwerdeführer dagegen vorbringt, substanziiert im Lichte der oben dargelegten Praxis des Bundesgerichts keinen ihm drohenden nicht wieder gutzumachenden Rechtsnachteil (im Sinne von Art. 93 Abs. 1 lit. a BGG ). Der Beschwerdeführer macht einzig geltend, dass er ein natürliches Interesse habe, dass die Strafverfolgungsbehörden nicht einfach in seine Privatsphäre eindringen, was auf der Hand liege und von seinen Persönlichkeitsrechten geschützt werde. Damit legt er jedoch weder dar, welcher Art die angeblich tangierten Privatgeheimnisse seien bzw. welche "privaten Dateien" und welche Datenspeicher davon betroffen wären noch wo diese Daten gespeichert sein sollen. Diese pauschalen Hinweise auf angebliche Privatgeheimnisse genügen, wie erwähnt, nach ständiger Praxis des Bundesgerichts nicht zur Substanziierung von konkreten schutzwürdigen Geheimnisinteressen. Auf die Beschwerde ist demnach nicht einzutreten.</w:t>
      </w:r>
    </w:p>
    <w:p>
      <w:r>
        <w:rPr>
          <w:b/>
        </w:rPr>
        <w:t>E. 3</w:t>
      </w:r>
    </w:p>
    <w:p>
      <w:r>
        <w:t>Bei diesem Ausgang des Verfahrens sind die Gerichtskosten dem Beschwerdeführer aufzuerlegen ( Art. 66 Abs. 1 BGG ). Sein Gesuch um unentgeltliche Rechtspflege ist angesichts der Aussichtslosigkeit der Beschwerde abzuweisen ( Art. 64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