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1001/2023 vom 8. Januar 2024</w:t>
      </w:r>
    </w:p>
    <w:p>
      <w:r>
        <w:t>Bundesgericht, 2024-01-08, DE</w:t>
      </w:r>
    </w:p>
    <w:p>
      <w:r>
        <w:rPr>
          <w:b/>
        </w:rPr>
        <w:t xml:space="preserve">Quelle: </w:t>
      </w:r>
      <w:r>
        <w:t>https://mcp.opencaselaw.ch/entscheid/bger_7B_1001_2023</w:t>
      </w:r>
    </w:p>
    <w:p>
      <w:r>
        <w:t>FR: TF 7B 1001/2023 du 8 janvier 2024</w:t>
      </w:r>
    </w:p>
    <w:p>
      <w:r>
        <w:t>IT: TF 7B 1001/2023 del 8 gennaio 2024</w:t>
      </w:r>
    </w:p>
    <w:p>
      <w:pPr>
        <w:pStyle w:val="Heading2"/>
      </w:pPr>
      <w:r>
        <w:t>Regeste</w:t>
      </w:r>
    </w:p>
    <w:p>
      <w:r>
        <w:t>Haftentlassungsgesuch | Strafprozess</w:t>
      </w:r>
    </w:p>
    <w:p>
      <w:pPr>
        <w:pStyle w:val="Heading2"/>
      </w:pPr>
      <w:r>
        <w:t>Erwägungen</w:t>
      </w:r>
    </w:p>
    <w:p>
      <w:r>
        <w:rPr>
          <w:b/>
        </w:rPr>
        <w:t>E. 1</w:t>
      </w:r>
    </w:p>
    <w:p>
      <w:r>
        <w:t>Angefochten ist ein kantonal letztinstanzlicher Entscheid, mit dem ein Gesuch um Entlassung aus der Sicherheitshaft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3.1</w:t>
      </w:r>
    </w:p>
    <w:p>
      <w:r>
        <w:t>Zwangsmassnahmen können im Strafverfahren ergriffen werden, wenn sie gesetzlich vorgesehen sind, ein hinreichender Tatverdacht vorliegt und sie verhältnismässig sind ( Art. 197 Abs. 1 StPO ). Sicherheitshaft ist mit Blick auf Art. 10 und Art. 31 BV sowie Art. 5 EMRK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 Die Vorinstanz verweist in der angefochtenen Verfügung auf ihre vorangegangenen Verfügungen vom 3. August 2023, 9. November 2023 sowie 16. November 2023, mit welchen sie neben dem Vorliegen eines dringenden Tatverdachts die besonderen Haftgründe der Flucht- und Wiederholungsgefahr bejaht hat. Der Beschwerdeführer bestreitet das Vorliegen eines dringenden Tatverdachts nicht. Er kritisiert jedoch die vorinstanzliche Annahme von Fluchtgefahr als bundesrechtswidrig. Darüber hinaus macht er geltend, die Aufrechterhaltung der Sicherheitshaft sei unverhältnismässig.</w:t>
      </w:r>
    </w:p>
    <w:p>
      <w:r>
        <w:rPr>
          <w:b/>
        </w:rPr>
        <w:t>E. 3.2</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allfälligen bereits vorliegenden Gerichtsentscheiden über das Strafmass bzw. weitere Sanktionen Rechnung zu tragen (vgl. BGE 145 IV 503 E. 2.2).</w:t>
      </w:r>
    </w:p>
    <w:p>
      <w:r>
        <w:rPr>
          <w:b/>
        </w:rPr>
        <w:t>E. 3.3</w:t>
      </w:r>
    </w:p>
    <w:p>
      <w:r>
        <w:t>Die Vorinstanz hält in der angefochtenen Verfügung fest, der Beschwerdeführer bringe "keine neuen Argumente insbesondere betr. bestehender Fluchtgefahr (im Sinne eines Untertauchens) durch die drohende Landesverweisung vor". Alleine seine Zusicherung, wegen dem Kontakt zu den Kindern auf ein Untertauchen zu verzichten, reiche dafür nicht. In ihrer Verfügung vom 3. August 2023 hatte die Vorinstanz etwas ausführlicher erwogen, der Beschwerdeführer habe den unbedingten Teil seiner von der Erstinstanz verhängten Strafe zwar praktisch verbüsst, aber durch die ausgesprochene Landesverweisung sei ein zusätzlicher Fluchtanreiz im Sinne eines Untertauchens hinzugekommen. Aus der Verfügung des Zwangsmassnahmengerichts vom 5. Mai 2023, worauf die vorinstanzliche Verfügung vom 3. August 2023 wiederum verweist, geht zudem hervor, dass der Beschwerdeführer als marokkanischer Staatsangehöriger gemäss seinen Aussagen in Italien aufgewachsen und im Jahr 2006 mit 22 Jahren in die Schweiz gekommen sei. Zusammen mit der Geschädigten C.A.________ habe er drei Kinder sowie ein weiteres Kind, das bei seiner Mutter in Muttenz lebe. Er sei von der Geschädigten geschieden. Er lebe alleine, pflege jedoch guten Kontakt zu den Kindern. Seine Eltern sowie seine Schwester lebten gemäss eigener Aussagen in ltalien, in Marokko würden die Grosseltern leben. Indes - so das Zwangsmassnahmengericht - würde die Ausübung der mutmasslichen Gewaltanwendungen gegenüber seiner Ex-Frau und deren Bekanntschaft in Anwesenheit der Kinder in der Wohnung zumindest am guten Verhältnis (zu seinen Kindern) zweifeln lassen. Aufgrund der Verwandtschaft in ltalien würde eine Flucht dahin und der dortige Aufenthalt keine besonderen finanziellen Mittel erfordern. Der Kontakt mit den Kindern könnte ausserdem weiter mittels elektronischer Medien und Besuche in ltalien aufrechterhalten bleiben. Mit all diesen Umständen setzt sich der Beschwerdeführer nicht hinlänglich auseinander. Im Übrigen bestreitet er nicht, dass die drohende Reststrafe immer noch ungefähr ein Jahr beträgt. Hinzu kommt, dass nach der Rechtsprechung eine drohende Landesverweisung einen erheblichen Anreiz darstellen kann, auch in der Schweiz unterzutauchen und sich dadurch der Wegweisung zu entziehen (Urteile 7B_928/2023 vom 15. Dezember 2023 E. 5.2.1; 1B_31/2023 vom 10. Februar 2023 E. 4.3; 1B_458/2022 vom 23. September 2022 E. 5.2). Die unsubstanziierte Kritik des Beschwerdeführers an der vorinstanzlichen Annahme, es drohe eine Flucht durch Untertauchen, geht fehl, zumal er selber in seiner Beschwerde an das Bundesgericht vortragen lässt, die im Raum stehende Landesverweisung sei "das Schlimmste, was [er] zu befürchten hat", und weiter, er wolle "partout in der Schweiz bleiben, um seine Kinder sehen und betreuen zu können". Unter diesen Umständen verfängt aber auch sein beiläufiger Hinweis, er sei bereit, Fussfesseln zu tragen, nicht.</w:t>
      </w:r>
    </w:p>
    <w:p>
      <w:r>
        <w:rPr>
          <w:b/>
        </w:rPr>
        <w:t>E. 3.4</w:t>
      </w:r>
    </w:p>
    <w:p>
      <w:r>
        <w:t>Für die Beurteilung der Verhältnismässigkeit der Haftdauer sind die konkreten Umstände des Falls ausschlaggebend ( BGE 145 IV 179 E. 3.5).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143 IV 168 E. 5.1; 139 IV 270 E. 3.1 ; 133 I 270 E. 3.4.2, 168 E. 4.1). Liegt bereits ein richterlicher Entscheid über das Strafmass vor, stellt dieser ein wichtiges Indiz für die mutmassliche Dauer der tatsächlich zu verbüssenden Strafe dar ( BGE 145 IV 179 E. 3.4; 143 IV 160 E. 4.1).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je mit Hinweis[en]). Eine Person, die zu einer Landesverweisung und einer bedingten Freiheitsstrafe verurteilt worden ist, kann im Einklang mit dem Verhältnismässigkeitsprinzip gemäss Art. 212 Abs. 3 StPO i.V.m. Art. 31 Abs. 3 BV und Art. 5 Ziff. 3 EMRK in Sicherheitshaft belassen werden, falls die Frage des bedingten Vollzugs ungewiss ist, die erstandene Haft nicht die Dauer des erstinstanzlich ausgesprochenen Freiheitsentzugs übersteigt und das Beschleunigungsgebot ( Art. 5 Abs. 1 und 2 StPO ) gewahrt ist ( BGE 143 IV 168 E. 5; Urteil 1B_428/2019 vom 27. September 2019 E. 6.1).</w:t>
      </w:r>
    </w:p>
    <w:p>
      <w:r>
        <w:rPr>
          <w:b/>
        </w:rPr>
        <w:t>E. 3.5</w:t>
      </w:r>
    </w:p>
    <w:p>
      <w:r>
        <w:t>Die Vorinstanz erachtet die Aufrechterhaltung der Sicherheitshaft als verhältnismässig. Sie führt aus, wie in ihren vorangegangenen Verfügungen wiederholt schon dargelegt, drohe auch nach dem Rückzug des Strafantrags der Privatklägerin C.A.________ immer noch keine Überhaft, da die drohende Reststrafe ungefähr ein Jahr betrage. In ihrer Verfügung vom 16. November 2023 hielt die Vorinstanz zudem fest, selbst wenn die Strafe aufgrund des Rückzugs des Strafantrags (von 32) auf 28 Monate reduziert würde, hätte sich die Haft dieser drohenden Freiheitsstrafe zwar mehr, aber immer noch nicht entscheidend genähert. Der Beschwerdeführer habe (bis zum 16. November 2023) rund 15 Monate in Haft verbracht. Die drohende Reststrafe würde also immer noch mindestens ungefähr ein Jahr betragen. Diese Feststellungen sind nicht zu beanstanden. Jedenfalls bringt der Beschwerdeführer selber vor, dass er - unter Berücksichtigung des "Wegfalls" der verhängten Strafe für die Antragsdelikte zum Nachteil von C.A.________ - bisher (erst) "mehr als die Hälfte" der mit erstinstanzlichem Urteil verhängten Freiheitsstrafe verbüsst habe. Im Übrigen hat zum Zeitpunkt der angefochtenen Verfügung die vom Beschwerdeführer erstandene Haftdauer den erstinstanzlich ausgesprochenen unbedingten Strafteil von 16 Monaten Freiheitsstrafe noch nicht überschritten. Damit erweist sich die Rüge der fehlenden Verhältnismässigkeit als unbegründet.</w:t>
      </w:r>
    </w:p>
    <w:p>
      <w:r>
        <w:rPr>
          <w:b/>
        </w:rPr>
        <w:t>E. 4</w:t>
      </w:r>
    </w:p>
    <w:p>
      <w:r>
        <w:t>Die Beschwerde ist abzuweisen, soweit darauf einzutreten ist. Das implizite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