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7B_1000/2023 vom 11. Januar 2024</w:t>
      </w:r>
    </w:p>
    <w:p>
      <w:r>
        <w:t>Bundesgericht, 2024-01-11, FR</w:t>
      </w:r>
    </w:p>
    <w:p>
      <w:r>
        <w:rPr>
          <w:b/>
        </w:rPr>
        <w:t xml:space="preserve">Quelle: </w:t>
      </w:r>
      <w:r>
        <w:t>https://mcp.opencaselaw.ch/entscheid/bger_7B_1000_2023</w:t>
      </w:r>
    </w:p>
    <w:p>
      <w:r>
        <w:t>FR: TF 7B_1000/2023 du 11 janvier 2024</w:t>
      </w:r>
    </w:p>
    <w:p>
      <w:r>
        <w:t>IT: TF 7B_1000/2023 del 11 gennaio 2024</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Selon l'art. 81 al. 1 let. a et b ch. 1 LTF, la recourante, prévenue détenue, a qualité pour recourir et la décision attaquée, en tant que prononcé incident rendu en dernière instance cantonale (cf. art. 80 LTF ), est susceptible de lui causer un préjudice irréparable au sens de l' art. 93 al. 1 let. a LTF (arrêts 7B_856/2023 du 21 novembre 2023 consid. 1; 7B_392/2023 du 15 septembre 2023 consid. 1.1 et les arrêts cités). Pour le surplus, les autres conditions de recevabilité étant réunies, il y a lieu d'entrer en matière.</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w:t>
      </w:r>
    </w:p>
    <w:p>
      <w:r>
        <w:rPr>
          <w:b/>
        </w:rPr>
        <w:t>E. 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w:t>
      </w:r>
    </w:p>
    <w:p>
      <w:r>
        <w:rPr>
          <w:b/>
        </w:rPr>
        <w:t>E. 3.1</w:t>
      </w:r>
    </w:p>
    <w:p>
      <w:r>
        <w:t>Invoquant une violation de l' art. 221 al. 1 CPP , la recourante soutient que les charges ne seraient plus suffisantes à ce stade pour justifier son maintien en détention.</w:t>
      </w:r>
    </w:p>
    <w:p>
      <w:r>
        <w:rPr>
          <w:b/>
        </w:rPr>
        <w:t>E. 3.2</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(arrêts 7B_885/2023 du 4 décembre 2023 consid. 3.2; 1B_99/2023 du 7 mars 2023 consid. 4.1; 1B_143/2019 du 23 avril 2019 consid. 3.1).</w:t>
      </w:r>
    </w:p>
    <w:p>
      <w:r>
        <w:rPr>
          <w:b/>
        </w:rPr>
        <w:t>E. 3.3</w:t>
      </w:r>
    </w:p>
    <w:p>
      <w:r>
        <w:t>La cour cantonale a pris en considération que la recourante avait été mise en cause par d'autres personnes, elles-mêmes soupçonnées d'être impliquées dans le réseau de mendicité organisée que la police avait identifié dans un rapport établi le 18 août 2021 à l'attention du Ministère public. Il s'agissait en particulier de son beau-frère J.________ et des fils de ce dernier - soit K.________ et L.________ - ainsi que de M.________, qui étaient tous également prévenus de traite d'êtres humains par métier et de blanchiment d'argent dans le cadre d'une procédure séparée.</w:t>
      </w:r>
    </w:p>
    <w:p>
      <w:r>
        <w:t>Au cours de leurs auditions, les précités avaient ainsi expliqué que la recourante avait exploité, à des fins de mendicité, I.________ et D.________ - qui avaient été "achetés" au préalable par la recourante elle-même (pour le premier) et par son mari B.________ (pour la seconde) - ainsi que H.________, E.________ et F.________. Ils avaient également relaté que D.________ s'était prostituée pour le compte de la recourante.</w:t>
      </w:r>
    </w:p>
    <w:p>
      <w:r>
        <w:t>En outre, selon la cour cantonale, alors que le fils de la recourante avait déjà été condamné pour avoir agi de concert avec elle après le décès de B.________, les dénégations de la recourante n'étaient pas de nature à amoindrir les charges pesant contre elle, retenues de manière constante par le TMC. Ces dénégations étaient au demeurant contredites par les déclarations de I.________, qui avait affirmé de manière tout aussi constante avoir mendié pour le compte de la recourante, cette dernière étant selon lui devenue, après le décès de son mari, la "grande cheffe" qui "donnait tous les ordres" (cf. arrêt attaqué, consid. 3.2 p. 11).</w:t>
      </w:r>
    </w:p>
    <w:p>
      <w:r>
        <w:rPr>
          <w:b/>
        </w:rPr>
        <w:t>E. 3.4.1</w:t>
      </w:r>
    </w:p>
    <w:p>
      <w:r>
        <w:t>Par ses longs développements, la recourante tente de faire valoir que, lors de leurs auditions subséquentes, les autres prévenus, de même que les victimes, seraient en grande partie revenus sur leurs premières déclarations la mettant en cause ou les auraient, à tout le moins, fortement nuancées, ceux-là ayant notamment expliqué que ce n'était pas elle qui était à la tête du réseau. Relevant en particulier que son fils N.________ avait finalement affirmé que sa mère n'avait rien à voir avec les faits pour lesquels il avait été condamné, la recourante soutient en particulier que les prévenus et les victimes avaient tout intérêt à porter des accusations inexactes la concernant, ceci dans le but, pour les premiers, d'abréger leur propre détention provisoire et, pour les secondes, de prolonger leur séjour en Suisse, où, en raison de leur statut de victime présumée de traite d'êtres humains, elles auraient bénéficié d'un titre de séjour et de l'aide sociale.</w:t>
      </w:r>
    </w:p>
    <w:p>
      <w:r>
        <w:t>La recourante entend également faire valoir qu'elle n'avait aucune marge de manoeuvre dans les "affaires" de son défunt mari, qui se montrait violent envers elle. Elle relève d'ailleurs, en référence aux déclarations de I.________, que, dans la tradition rom, ce serait l'homme qui décide et qui donne les ordres, de sorte que, dans leur cas précis, c'était bien son fils N.________ qui avait repris les affaires de son père.</w:t>
      </w:r>
    </w:p>
    <w:p>
      <w:r>
        <w:rPr>
          <w:b/>
        </w:rPr>
        <w:t>E. 3.4.2</w:t>
      </w:r>
    </w:p>
    <w:p>
      <w:r>
        <w:t>Ce faisant, la recourante s'attache essentiellement à rediscuter la portée des déclarations des autres protagonistes et, d'une manière générale, à présenter sa propre version des faits, en tentant ainsi d'anticiper, par ses développements, l'appréciation des preuves qui sera opérée par le juge du fond.</w:t>
      </w:r>
    </w:p>
    <w:p>
      <w:r>
        <w:t>Il faut en effet rappeler que ce sera bien à l'autorité de jugement qu'il appartiendra, le cas échéant, de déterminer la crédibilité à accorder aux déclarations recueillies en cours de procédure, et en particulier d'apprécier dans quelle mesure les affirmations subséquentes des différents protagonistes devraient être privilégiées par rapport à celles recueillies en premier lieu.</w:t>
      </w:r>
    </w:p>
    <w:p>
      <w:r>
        <w:t>A ce stade, il suffit de constater que la cour cantonale n'a pas versé dans l'arbitraire en considérant que les premières déclarations des différentes parties impliquées dans le réseau de mendicité organisée - qui sont pour l'essentiel concordantes - reflétaient des soupçons portant sur des faits particulièrement graves, s'étendant de surcroît sur une longue période, ce qui est suffisant en l'état pour justifier le maintien de la recourante en détention provisoire.</w:t>
      </w:r>
    </w:p>
    <w:p>
      <w:r>
        <w:rPr>
          <w:b/>
        </w:rPr>
        <w:t>E. 3.4.3</w:t>
      </w:r>
    </w:p>
    <w:p>
      <w:r>
        <w:t>S'il faut certes reconnaître que l'enquête n'a apparemment pas encore permis de déterminer avec précision le degré d'implication de la recourante dans le réseau mis en place, il doit également être pris en considération qu'à teneur de l'arrêt attaqué (cf. Faits, let. C p. 8), le Ministère public reste dans l'attente des résultats de la demande d'entraide judiciaire, adressée aux autorités bulgares, dans le cadre de laquelle plusieurs témoins et victimes, dont D.________, doivent être auditionnés.</w:t>
      </w:r>
    </w:p>
    <w:p>
      <w:r>
        <w:t>Cela étant observé, il appartiendra au Ministère public, s'il entend requérir une nouvelle prolongation de la détention provisoire, de détailler plus précisément les faits qui sont concrètement reprochés à la recourante, en expliquant, à la lumière des éléments ressortant des actes d'enquête dernièrement réalisés, en quoi les soupçons pesant sur l'intéressée font apparaître sa future condamnation, le cas échéant à titre de complice, comme une perspective vraisemblable.</w:t>
      </w:r>
    </w:p>
    <w:p>
      <w:r>
        <w:rPr>
          <w:b/>
        </w:rPr>
        <w:t>E. 4</w:t>
      </w:r>
    </w:p>
    <w:p>
      <w:r>
        <w:t>La recourante, qui ne conteste pas en tant que telle l'existence d'un risque de fuite ( art. 221 al. 1 let. a CPP ), soutient que des mesures de substitution à la détention provisoire seraient néanmoins susceptibles de pallier ce risque.</w:t>
      </w:r>
    </w:p>
    <w:p>
      <w:r>
        <w:rPr>
          <w:b/>
        </w:rPr>
        <w:t>E. 4.1</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rPr>
          <w:b/>
        </w:rPr>
        <w:t>E. 4.2</w:t>
      </w:r>
    </w:p>
    <w:p>
      <w:r>
        <w:t>Il faut donner acte à la cour cantonale que le versement d'une caution, à hauteur de 5'000 ou de 10'000 fr. - comme l'a successivement proposé la recourante -, ne constitue pas une mesure de substitution efficace en l'espèce (cf. arrêt attaqué, consid. 5.2 p. 13). Il pouvait à cet égard être tenu compte, d'une part, de l'importance du risque de fuite constaté - l'intéressée, ressortissante bulgare, ne dispose en effet d'aucune attache en Suisse - et, d'autre part, de sa situation personnelle, qui paraît relativement confortable sur le plan financier, dès lors qu'elle serait propriétaire de plusieurs maisons en Bulgarie et qu'elle se dit soutenue par ses quatre filles, vivant toutes en Allemagne (cf. arrêt attaqué, Faits, let. B.l p. 8).</w:t>
      </w:r>
    </w:p>
    <w:p>
      <w:r>
        <w:t>Au surplus, la recourante ne fait état d'aucune autre mesure de substitution propre à parer le risque de fuite.</w:t>
      </w:r>
    </w:p>
    <w:p>
      <w:r>
        <w:rPr>
          <w:b/>
        </w:rPr>
        <w:t>E. 5</w:t>
      </w:r>
    </w:p>
    <w:p>
      <w:r>
        <w:t>La recourante invoque enfin une violation du principe de la proportionnalité. Elle se plaint également dans ce contexte d'une violation de son droit d'être entendue, reprochant à la cour cantonale d'avoir insuffisamment motivé sa décision quant à cet aspect.</w:t>
      </w:r>
    </w:p>
    <w:p>
      <w:r>
        <w:rPr>
          <w:b/>
        </w:rPr>
        <w:t>E. 5.1.1</w:t>
      </w:r>
    </w:p>
    <w:p>
      <w:r>
        <w:t>Le principe de la proportionnalité postule que toute personne qui est mise en détention avant jugement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 art. 212 al. 3 CPP ; ATF 143 IV 168 consid. 5.1).</w:t>
      </w:r>
    </w:p>
    <w:p>
      <w:r>
        <w:rPr>
          <w:b/>
        </w:rPr>
        <w:t>E. 5.1.2</w:t>
      </w:r>
    </w:p>
    <w:p>
      <w:r>
        <w:t>Dans l'examen de la proportionnalité de la durée de la détention,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arrêt 7B_933/2023 du 14 décembre 2023 consid. 2.2.1 et l'arrêt cité).</w:t>
      </w:r>
    </w:p>
    <w:p>
      <w:r>
        <w:t>Afin d'éviter d'empiéter sur les compétences du juge du fond, le juge de la détention ne tient en principe pas compte de la possibilité éventuelle de l'octroi, par l'autorité de jugement, d'un sursis ou d'un sursis partiel, ni de la possibilité d'une libération conditionnelle au sens de l' art. 86 al. 1 CP ( ATF 145 IV 179 consid. 3.4; 143 IV 168 consid. 5.1), à moins que son octroi apparaisse d'emblée évident ( ATF 143 IV 160 consid. 4.2; arrêts 7B_933/2023 du 14 décembre 2023 consid. 2.2.1; 1B_233/2023 du 5 juin 2023 consid. 4.1). En outre,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avant jugement dépasserait les trois quarts de la peine prévisible n'est pas décisif en tant que tel ( ATF 145 IV 179 consid. 3.5; arrêt 7B_933/2023 du 14 décembre 2023 consid. 2.2.1).</w:t>
      </w:r>
    </w:p>
    <w:p>
      <w:r>
        <w:rPr>
          <w:b/>
        </w:rPr>
        <w:t>E. 5.1.3</w:t>
      </w:r>
    </w:p>
    <w:p>
      <w:r>
        <w:t>Le droit d'être entendu, tel qu'il est garanti par les art. 29 al. 2 Cst. , 6 par. 1 CEDH et 3 al. 2 let. c CPP,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w:t>
      </w:r>
    </w:p>
    <w:p>
      <w:r>
        <w:rPr>
          <w:b/>
        </w:rPr>
        <w:t>E. 5.2</w:t>
      </w:r>
    </w:p>
    <w:p>
      <w:r>
        <w:t>En l'espèce, la cour cantonale a estimé que la détention extraditionnelle et provisoire subie depuis le 8 janvier 2023 n'excédait pas la peine concrètement encourue par la recourante (cf. art. 212 al. 3 CPP ) si elle était reconnue coupable des infractions qui lui étaient reprochées (cf. arrêt attaqué, consid. 6 p. 13).</w:t>
      </w:r>
    </w:p>
    <w:p>
      <w:r>
        <w:rPr>
          <w:b/>
        </w:rPr>
        <w:t>E. 5.3.1</w:t>
      </w:r>
    </w:p>
    <w:p>
      <w:r>
        <w:t>Une telle motivation, même brève, permet de comprendre le raisonnement de la cour cantonale. Il apparaît en effet clairement que, par les termes utilisés, les juges cantonaux entendaient faire référence à la teneur de l' art. 182 al. 2 CP , réprimant notamment la traite d'êtres humains par métier, infraction pour laquelle le législateur a prévu une peine privative de liberté d'un an au moins. On rappellera du reste que la recourante est également prévenue de blanchiment d'argent, soit d'une infraction passible d'une peine privative de liberté de 3 ans au plus ou d'une peine pécuniaire ( art. 305bis ch. 1 CP ).</w:t>
      </w:r>
    </w:p>
    <w:p>
      <w:r>
        <w:t>La recourante ne prétendant par ailleurs pas avoir été empêchée d'entreprendre utilement ce raisonnement, c'est en vain qu'elle se prévaut d'une violation de son droit d'être entendue.</w:t>
      </w:r>
    </w:p>
    <w:p>
      <w:r>
        <w:rPr>
          <w:b/>
        </w:rPr>
        <w:t>E. 5.3.2</w:t>
      </w:r>
    </w:p>
    <w:p>
      <w:r>
        <w:t>Pour le surplus, il n'y a rien d'évident à considérer que, comme la recourante le soutient, l'autorité de jugement appréciera les faits sous le prisme de sa soumission totale à l'égard de son défunt époux ni</w:t>
      </w:r>
    </w:p>
    <w:p>
      <w:r>
        <w:t>a fortiori qu'au regard de ce contexte, elle l'exemptera de toute peine ou lui infligera une peine réduite.</w:t>
      </w:r>
    </w:p>
    <w:p>
      <w:r>
        <w:t>Il ne saurait non plus être fait abstraction du fait que le fils de la recourante a pour sa part été condamné - en raison des mêmes infractions et pour avoir agi de concert avec sa mère - à une peine privative de liberté de 30 mois, avec sursis partiel portant sur 15 mois.</w:t>
      </w:r>
    </w:p>
    <w:p>
      <w:r>
        <w:rPr>
          <w:b/>
        </w:rPr>
        <w:t>E. 5.3.3</w:t>
      </w:r>
    </w:p>
    <w:p>
      <w:r>
        <w:t>Pour autant, comme cela a été déjà observé ci-avant (cf. consid. 3.4.3 supra), il appartiendra au Ministère public, s'il entend requérir la prolongation de la détention provisoire au-delà du 2 février 2024, de décrire avec plus de précision les charges pesant actuellement sur la recourante.</w:t>
      </w:r>
    </w:p>
    <w:p>
      <w:r>
        <w:t>Cet aspect se révèle en effet tout aussi important au moment de déterminer si la détention provisoire demeure conforme au principe de la proportionnalité.</w:t>
      </w:r>
    </w:p>
    <w:p>
      <w:r>
        <w:rPr>
          <w:b/>
        </w:rPr>
        <w:t>E. 6</w:t>
      </w:r>
    </w:p>
    <w:p>
      <w:r>
        <w:t>Il s'ensuit que le recours doit être rejeté dans la mesure où il est recevable.</w:t>
      </w:r>
    </w:p>
    <w:p>
      <w:r>
        <w:t>La recourante a demandé l'assistance judiciaire (cf. art. 64 al. 1 LTF ). Les conditions y relatives étant réunies, il y a lieu d'admettre cette requête et de désigner Me Magali Buser en tant qu'avocate d'office pour la procédure fédérale et de lui allouer une indemnité à titre d'honoraires, qui sera supportée par la caisse du Tribunal fédéral ( art. 64 al. 2 LTF ). La recourante est toutefois rendue attentive à son obligation de rembourser la caisse du Tribunal fédéral si elle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