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7B.98/2004 vom 15. Juni 2004</w:t>
      </w:r>
    </w:p>
    <w:p>
      <w:r>
        <w:t>Bundesgericht, 2004-06-15, DE</w:t>
      </w:r>
    </w:p>
    <w:p>
      <w:r>
        <w:rPr>
          <w:b/>
        </w:rPr>
        <w:t xml:space="preserve">Quelle: </w:t>
      </w:r>
      <w:r>
        <w:t>https://mcp.opencaselaw.ch/entscheid/bger_7B.98_2004</w:t>
      </w:r>
    </w:p>
    <w:p>
      <w:r>
        <w:t>FR: TF 7B.98/2004 du 15 juin 2004</w:t>
      </w:r>
    </w:p>
    <w:p>
      <w:r>
        <w:t>IT: TF 7B.98/2004 del 15 giugno 2004</w:t>
      </w:r>
    </w:p>
    <w:p>
      <w:pPr>
        <w:pStyle w:val="Heading2"/>
      </w:pPr>
      <w:r>
        <w:t>Erwägungen</w:t>
      </w:r>
    </w:p>
    <w:p>
      <w:r>
        <w:rPr>
          <w:b/>
        </w:rPr>
        <w:t>E. 1.1</w:t>
      </w:r>
    </w:p>
    <w:p>
      <w:r>
        <w:t>Das Betreibungsamt Zürich 7 pfändete am 17. November 2003 den Z.________ gehörenden Personenwagen, Marke Audi RS6 Avant, Farbe schwarz-met., Stamm-Nr. 136.137.657, erste Inverkehrsetzung 09.02, ca. 50'000 km, Kontrollschild ..., eingelöst und fahrbereit, betreibungsamtlicher Schätzwert Fr. 40'000.--. Die Pfändung erfolgte für die Betreibungen Nr. ... und ... sowie für die Pfändung Nr. .... Am 19. Februar 2004 reichte Z.________ gegen die Pfändungsurkunde vom 13. Januar 2004 betreffend die Gruppe Nr. ... beim Bezirksgericht Zürich, 2. Abteilung, als unterer kantonaler Aufsichtsbehörde über die Betreibungsämter Beschwerde ein mit dem Antrag, der Audi sei aus der Pfandhaft zu entlassen und "dem Schuldner als Kompetenzgut unter Ausscheidung zu Geschäftszwecken zu überlassen". Mit Zirkulationsbeschluss vom 9. März 2004 trat das Bezirksgericht auf die Beschwerde nicht ein.</w:t>
      </w:r>
    </w:p>
    <w:p>
      <w:r>
        <w:t>Der von Z.________ dagegen eingereichte Rekurs wurde vom Obergericht des Kantons Zürich, II. Zivilkammer, als obere kantonale Aufsichtsbehörde in Schuldbetreibungs- und Konkurssachen mit Beschluss vom 4. Mai 2004 abgewiesen.</w:t>
      </w:r>
    </w:p>
    <w:p>
      <w:r>
        <w:rPr>
          <w:b/>
        </w:rPr>
        <w:t>E. 1.2</w:t>
      </w:r>
    </w:p>
    <w:p>
      <w:r>
        <w:t>Mit Eingabe vom 24. Mai 2004 (Postaufgabe: 25. Mai 2004) hat Z.________ bei der Schuldbetreibungs- und Konkurskammer des Bundesgerichts Beschwerde gegen den Beschluss des Obergerichts eingereicht und beantragt im Wesentlichen, diesen wegen Verletzung von Bundesrecht aufzuheben und den Pfandgegenstand Nr. 03 (Audi Avant) dem Schuldner als Kompetenzgut zu überlassen.</w:t>
      </w:r>
    </w:p>
    <w:p>
      <w:r>
        <w:rPr>
          <w:b/>
        </w:rPr>
        <w:t>E. 2</w:t>
      </w:r>
    </w:p>
    <w:p>
      <w:r>
        <w:t>Den Akten kann entnommen werden, dass der Beschwerdeführer den angefochtenen Entscheid am 11. Mai 2004 in Empfang genommen hat. Am 12. Mai 2004 hat die 10-tägige Beschwerdefrist für den Weiterzug der Sache an das Bundesgericht zu laufen begonnen ( Art. 19 Abs. 1 und Art. 31 Abs. 1 SchKG ). Damit ist die Eingabe des Beschwerdeführers vom 25. Mai 2004 offensichtlich verspätet.</w:t>
      </w:r>
    </w:p>
    <w:p>
      <w:r>
        <w:t>Im Übrigen ist ein Nichtigkeitsgrund im Entscheid des Obergerichts nicht erkennbar. Zudem setzt sich der Beschwerdeführer mit den Erwägungen der oberen Aufsichtsbehörde nicht ansatzweise im Sinne von Art. 79 Abs. 1 OG auseinander ( BGE 119 III 49 E. 2) und bringt neue Tatsachen vor, was unzulässig ist.</w:t>
      </w:r>
    </w:p>
    <w:p>
      <w:r>
        <w:rPr>
          <w:b/>
        </w:rPr>
        <w:t>E. 3</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