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7B.82/2006 vom 12. September 2006</w:t>
      </w:r>
    </w:p>
    <w:p>
      <w:r>
        <w:t>Bundesgericht, 2006-09-12, FR</w:t>
      </w:r>
    </w:p>
    <w:p>
      <w:r>
        <w:rPr>
          <w:b/>
        </w:rPr>
        <w:t xml:space="preserve">Quelle: </w:t>
      </w:r>
      <w:r>
        <w:t>https://mcp.opencaselaw.ch/entscheid/bger_7B.82_2006</w:t>
      </w:r>
    </w:p>
    <w:p>
      <w:r>
        <w:t>FR: TF 7B.82/2006 du 12 septembre 2006</w:t>
      </w:r>
    </w:p>
    <w:p>
      <w:r>
        <w:t>IT: TF 7B.82/2006 del 12 settembre 2006</w:t>
      </w:r>
    </w:p>
    <w:p>
      <w:pPr>
        <w:pStyle w:val="Heading2"/>
      </w:pPr>
      <w:r>
        <w:t>Regeste</w:t>
      </w:r>
    </w:p>
    <w:p>
      <w:r>
        <w:t>administration d'une faillite; déni de justice | Droit des poursuites et faillites</w:t>
      </w:r>
    </w:p>
    <w:p>
      <w:pPr>
        <w:pStyle w:val="Heading2"/>
      </w:pPr>
      <w:r>
        <w:t>Erwägungen</w:t>
      </w:r>
    </w:p>
    <w:p>
      <w:r>
        <w:rPr>
          <w:b/>
        </w:rPr>
        <w:t>E. 1</w:t>
      </w:r>
    </w:p>
    <w:p>
      <w:r>
        <w:t>Le Tribunal fédéral fonde son arrêt sur les faits tels qu'ils ont été constatés par la dernière autorité cantonale, à moins que des dispositions fédérales en matière de preuve n'aient été violées, qu'il n'y ait lieu de rectifier d'office une inadvertance manifeste ou de compléter les constatations de l'autorité cantonale sur des points purement accessoires (art. 63 al. 2 et 64 al. 2 OJ applicables par analogie en vertu du renvoi de l'art. 81 de la même loi). La cour cantonale s'est référée à l'état de fait de la décision de l'autorité inférieure de surveillance, qu'elle a adopté intégralement. En revenant sur certains éléments, utiles à la compréhension de sa décision, elle a toutefois commis une inadvertance manifeste en écrivant que la masse en faillite de X.________ avait formulé une revendication le 9 janvier 2002 et vendu les biens immatériels représentés par la marque "A.________" le 24 mai 2002, puisque c'est X.________ elle-même, pas encore en faillite (elle ne le sera qu'à partir du 11 juillet 2002), qui était l'auteur de la revendication et de la vente en question. La recourante se plaint donc à juste titre d'une telle inexactitude, qui est toutefois sans conséquence pour la solution du litige et qui a d'ailleurs été rectifiée d'office dans l'état de fait ci-dessus ( art. 63 al. 2 OJ ). Il en va de même du fait, ressortant du considérant IIa (p. 5) de l'arrêt attaqué, que la recourante serait un tiers dans la faillite de Y.________, alors qu'elle est créancière d'après la circulaire de l'office de Moudon-Oron du 8 février 2002, X.________ y étant désignée expressément en cette qualité. Toutefois, là aussi, l'inexactitude dénoncée est sans conséquence pour la solution du litige.</w:t>
      </w:r>
    </w:p>
    <w:p>
      <w:r>
        <w:rPr>
          <w:b/>
        </w:rPr>
        <w:t>E. 2.1</w:t>
      </w:r>
    </w:p>
    <w:p>
      <w:r>
        <w:t>Il est constant que, le 15 octobre 2002, l'office de Moudon-Oron a imparti à la recourante un délai de vingt jours pour intenter action en revendication conformément à l' art. 242 al. 2 LP , faute de quoi elle serait réputée avoir renoncé à sa revendication. Or, la recourante n'a pas ouvert action en revendication. Elle n'a pas non plus fait valoir par la voie de la plainte que c'était à tort qu'un délai d'ouverture d'action lui avait été imparti. Toute décision de l'administration de la faillite en rapport avec la mise en oeuvre ou non de l' art. 242 LP dans un cas concret peut en effet être remise en cause par la voie de la plainte (Jeandin/Fischer, Commentaire romand de la LP, n. 7 ad art. 242 LP ; Franco Lorandi, Betreibungsrechtliche Beschwerde und Nichtigkeit, n. 211 ad art. 17 LP ; Jean-Luc Tschumy, La revendication de droits de nature à soustraire un bien à l'exécution forcée, thèse Lausanne 1987, p. 90 et les références; cf. arrêt 5C.35/2004 du 14 avril 2004, consid. 2.1). La recourante n'était donc plus habilitée en juin 2005, soit deux à trois ans après, à contester la procédure de l' art. 242 LP initiée par l'office de Moudon-Oron.</w:t>
      </w:r>
    </w:p>
    <w:p>
      <w:r>
        <w:rPr>
          <w:b/>
        </w:rPr>
        <w:t>E. 2.2</w:t>
      </w:r>
    </w:p>
    <w:p>
      <w:r>
        <w:t>A l'instar de ce qui se passe pour l'état de collocation, une révision ou une modification après coup de l'inventaire n'est envisageable que si des objets y ont été portés ou omis manifestement à tort, qu'un rapport de droit se soit modifié après coup ou que des faits nouveaux justifient une reconsidération (arrêt 7B.237/2005 du 27 mars 2006, consid. 3 et les références). En l'espèce, l'on ne se trouve pas en présence du cas où, comme le soutient la recourante, des objets auraient été portés manifestement à tort à l'inventaire. Selon les constatations de la cour cantonale, résultant de l'appréciation des éléments du dossier et qui lient la Chambre de céans (cf. consid. 1 ci-dessus), la société Y.________ était apparemment propriétaire de la marque litigieuse et il n'était pas établi que cette dernière avait été rétrocédée à X.________. Contrairement à ce que laisse entendre la recourante à ce propos, tous les éléments du patrimoine du failli doivent être portés à l'inventaire, qu'il s'agisse de biens en sa possession, appartenant ou non à la masse, de valeurs patrimoniales ne se trouvant pas en sa possession mais dont le failli déclare être propriétaire, ou de valeurs qui lui appartiennent vraisemblablement (François Vouilloz, Commentaire romand de la LP, n. 4 ad art. 221 LP ; Gilliéron, op. cit., n. 35 ss ad art. 221 LP ). Un inventaire faisant mention d'un "actif qui n'est pas en mains du failli" n'est donc pas vicié de ce seul fait et ne justifie pas, comme le prétend la recourante, que la procédure de revendication initiée à propos de cet actif soit déclarée nulle ab ovo. C'est par conséquent à bon droit que la cour cantonale a nié l'existence d'un cas de nullité au sens de l' art. 22 al. 1 LP .</w:t>
      </w:r>
    </w:p>
    <w:p>
      <w:r>
        <w:rPr>
          <w:b/>
        </w:rPr>
        <w:t>E. 3</w:t>
      </w:r>
    </w:p>
    <w:p>
      <w:r>
        <w:t>En ce qui concerne la restitution du montant de 55'214 fr. 60 que la recourante dit avoir payé par erreur à l'office de Moudon-Oron, tout en admettant que la revendication de celui-ci paraissait fondée, la cour cantonale a confirmé le renvoi de la recourante à agir par le biais d'une action en enrichissement illégitime en se fondant sur la jurisprudence fédérale. Selon cette jurisprudence, applicable à la restitution de sommes versées irrégulièrement lors de la distribution des deniers ( ATF 123 III 335 ) ou dès l'ouverture de la faillite ( art. 204 et 205 LP ; arrêt 7B.53/2006 du 8 août 2006 consid. 3.1), l'office qui entend se retourner contre celui qui a bénéficié indûment d'un versement doit agir devant le juge, notamment par la voie de l'action en enrichissement illégitime. La recourante a d'ailleurs introduit une telle action. La restitution en question ne relève pas, comme le soutient encore la recourante, du devoir d'entraide entre offices des faillites ( art. 4 LP ). Un tel devoir se limite à l'accomplissement d'actes de poursuite en dehors de l'arrondissement de l'office compétent (cf. Louis Dallèves, Commentaire romand de la LP, n. 4 ad art. 4 LP ); il ne régit pas la revendication de biens entre deux sociétés tombées successivement en faillite, laquelle obéit exclusivement aux règles de l' art. 242 LP .</w:t>
      </w:r>
    </w:p>
    <w:p>
      <w:r>
        <w:rPr>
          <w:b/>
        </w:rPr>
        <w:t>E. 4</w:t>
      </w:r>
    </w:p>
    <w:p>
      <w:r>
        <w:t>Il résulte de ce qui précède que le recours doit être rejeté dans la mesure de sa recevabilité, sans frais ni dépens ( art. 20a al. 1 LP , 61 al. 2 let. a et 62 al. 2 OELP).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