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7B.79/2003 vom 22. Mai 2003</w:t>
      </w:r>
    </w:p>
    <w:p>
      <w:r>
        <w:t>Bundesgericht, 2003-05-22, DE</w:t>
      </w:r>
    </w:p>
    <w:p>
      <w:r>
        <w:rPr>
          <w:b/>
        </w:rPr>
        <w:t xml:space="preserve">Quelle: </w:t>
      </w:r>
      <w:r>
        <w:t>https://mcp.opencaselaw.ch/entscheid/bger_7B.79_2003</w:t>
      </w:r>
    </w:p>
    <w:p>
      <w:r>
        <w:t>FR: TF 7B.79/2003 du 22 mai 2003</w:t>
      </w:r>
    </w:p>
    <w:p>
      <w:r>
        <w:t>IT: TF 7B.79/2003 del 22 maggio 2003</w:t>
      </w:r>
    </w:p>
    <w:p>
      <w:pPr>
        <w:pStyle w:val="Heading2"/>
      </w:pPr>
      <w:r>
        <w:t>Regeste</w:t>
      </w:r>
    </w:p>
    <w:p>
      <w:r>
        <w:t>Schuldbetreibungs- und Konkursrecht</w:t>
      </w:r>
    </w:p>
    <w:p>
      <w:pPr>
        <w:pStyle w:val="Heading2"/>
      </w:pPr>
      <w:r>
        <w:t>Erwägungen</w:t>
      </w:r>
    </w:p>
    <w:p>
      <w:r>
        <w:rPr>
          <w:b/>
        </w:rPr>
        <w:t>E. 1</w:t>
      </w:r>
    </w:p>
    <w:p>
      <w:r>
        <w:t>Mit Beschwerde ans Bundesgericht nach Art. 19 SchKG kann einzig geltend gemacht werden, der angefochtene Entscheid beruhe auf einer Verletzung von Bundesrecht oder von völkerrechtlichen Verträgen des Bundes; dagegen bleibt wegen Verletzung verfassungsmässiger Rechte des Bürgers die staatsrechtliche Beschwerde vorbehalten (Art. 43 Abs. 1 i.V.m. Art. 81 OG ; BGE 107 III 11 E. 1 S. 12; 120 III 114 E. 3a S. 116). Demzufolge ist auf die Rüge der Verletzung von Art. 9 BV durch formelle Rechtsverweigerung nicht einzutreten.</w:t>
      </w:r>
    </w:p>
    <w:p>
      <w:r>
        <w:rPr>
          <w:b/>
        </w:rPr>
        <w:t>E. 2</w:t>
      </w:r>
    </w:p>
    <w:p>
      <w:r>
        <w:t>Soweit sich die Beschwerdeführerin zudem gegen die Neuberechnung der pfändbaren Quote unter Berücksichtigung des Vorrechts der Unterhaltsgläubigerin auf Eingriff in das Existenzminimum des Schuldners wendet, ist sie diesbezüglich durch den angefochtenen Entscheid nicht beschwert. Insoweit kann ebenfalls nicht auf die Beschwerde eingetreten werden. Im Übrigen ist anzumerken, dass der Kantonsgerichtsausschuss in seinem Entscheid die Voraussetzungen für einen Eingriff in das Existenzminimum des Schuldners korrekt dargelegt hat ( BGE 111 III 13 E.5 S. 15; 116 III 10 E. 2 S. 12; 123 III 332 E. 1 S. 333). Die Anweisung an das Betreibungsamt, den Notbedarf für die Beschwerdeführerin sowie den Schuldner zu berechnen und anschliessend das Einkommen des Schuldners so zu verteilen, dass beide prozentual die gleiche Einbusse erleiden, ist nicht zu beanstanden. Auf Grund der anstehenden Neuberechnung ist denn auch im Moment das Ergebnis der Pfändung noch offen.</w:t>
      </w:r>
    </w:p>
    <w:p>
      <w:r>
        <w:rPr>
          <w:b/>
        </w:rPr>
        <w:t>E. 3</w:t>
      </w:r>
    </w:p>
    <w:p>
      <w:r>
        <w:t>Die Beschwerdeführerin verlangt eine monatliche Lohnpfändung von mindestens Fr. 1'000.--. Zur Begründung führt sie aus, dass in der Scheidungskonvention, welche den Unterhaltsbeitrag vorsehe, ausdrücklich eine Abänderung der vereinbarten Rente bei einer allfälligen Wiederverheiratung des Schuldners ausgeschlossen worden sei. Durch die Unterzeichnung der Scheidungskonvention habe der Schuldner implizit zum Ausdruck gebracht, dass der Unterhaltsbeitrag von Fr. 1'000.-- seinen Notbedarf nicht beschneide bzw., dass er mit einem dadurch bewirkten Eingriff in seinen rechnerischen Notbedarf einverstanden sei. Indem das Betreibungsamt diese besonderen Umstände bei der Festlegung der Lohnpfändung nicht berücksichtigt habe, sei Art. 93 SchKG verletzt worden. Die Beschwerdeführerin verkennt bei dieser Rüge, dass sich die Höhe der pfändbaren Einkommensquote im betreibungsrechtlichen Vollstreckungsverfahren einzig nach den Grundsätzen der Art. 92 und 93 SchKG bestimmt, welche bezwecken, die wirtschaftliche Existenz des Schuldners und seiner Familie in der Zwangsvollstreckung zu schützen (Jäger/Walder/Kull/Kottmann, Bundesgesetz über Schuldbetreibung und Konkurs, 1997, N. 2 zu Art. 92; Amonn/Gasser, Grundriss des Schuldbetreibungs- und Konkursrechts, 1997, § 23 N. 13). Davon zu unterscheiden ist die Frage der Abänderbarkeit der dem Vollstreckungsverfahren zu Grunde liegenden Scheidungsrente; ob und inwieweit der Schuldner im Scheidungsverfahren auf eine solche Abänderung verzichtet hat, kann nicht Gegenstand des Vollstreckungsverfahrens sein, wie der Kantonsgerichtsausschuss korrekt erkannt hat. Somit ist auch in diesem Punkt nicht auf die Beschwerde einzutreten.</w:t>
      </w:r>
    </w:p>
    <w:p>
      <w:r>
        <w:rPr>
          <w:b/>
        </w:rPr>
        <w:t>E. 4</w:t>
      </w:r>
    </w:p>
    <w:p>
      <w:r>
        <w:t>Die Beschwerdeführerin hat für das Beschwerdeverfahren ein Gesuch um unentgeltliche Rechtspflege sowie Verbeiständung gestellt. Die Verbeiständung durch einen Rechtsanwalt kann sich unter Umständen auch im betreibungsrechtlichen Beschwerdeverfahren vor Bundesgericht als notwendig erweisen ( BGE 122 III 392 E. 3c S. 394). Ob die geforderten Voraussetzungen dazu im vorliegenden Fall erfüllt sind, kann offen bleiben: Die Bestellung eines Rechtsbeistandes bedingt nämlich, dass die Beschwerde nicht als aussichtslos erscheint ( Art. 152 Abs. 1 OG ), was hier nicht erfüllt ist, nachdem auf die Beschwerde insgesamt nicht eingetreten werden konnte. Daher ist das Gesuch um unentgeltliche Rechtspflege abzuweisen, soweit es gestützt auf die grundsätzliche Kostenfreiheit des Beschwerdeverfahrens ( Art. 20a Abs. 1 SchKG ) nicht ohnehin gegenstandslos ist.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