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7B.73/2005 vom 12. August 2005</w:t>
      </w:r>
    </w:p>
    <w:p>
      <w:r>
        <w:t>Bundesgericht, 2005-08-12, FR</w:t>
      </w:r>
    </w:p>
    <w:p>
      <w:r>
        <w:rPr>
          <w:b/>
        </w:rPr>
        <w:t xml:space="preserve">Quelle: </w:t>
      </w:r>
      <w:r>
        <w:t>https://mcp.opencaselaw.ch/entscheid/bger_7B.73_2005</w:t>
      </w:r>
    </w:p>
    <w:p>
      <w:r>
        <w:t>FR: TF 7B.73/2005 du 12 août 2005</w:t>
      </w:r>
    </w:p>
    <w:p>
      <w:r>
        <w:t>IT: TF 7B.73/2005 del 12 agosto 2005</w:t>
      </w:r>
    </w:p>
    <w:p>
      <w:pPr>
        <w:pStyle w:val="Heading2"/>
      </w:pPr>
      <w:r>
        <w:t>Erwägungen</w:t>
      </w:r>
    </w:p>
    <w:p>
      <w:r>
        <w:rPr>
          <w:b/>
        </w:rPr>
        <w:t>E. 1</w:t>
      </w:r>
    </w:p>
    <w:p>
      <w:r>
        <w:t>En vertu de l' art. 262 al. 2 LP , le produit des biens remis en gage sert à couvrir en premier lieu les frais d'inventaire, d'administration et de réalisation du gage. Ces frais, s'ils n'ont pas été comptabilisés dans un compte séparé, doivent donc être extraits des frais généraux pour être déduits du produit de la réalisation du bien grevé dans la répartition du produit de la réalisation (P.-R. Gilliéron, Commentaire de la loi fédérale sur la poursuite pour dettes et la faillite, n. 19 s. ad art. 261 LP ).</w:t>
      </w:r>
    </w:p>
    <w:p>
      <w:r>
        <w:t>Selon la jurisprudence relative à l' art. 262 al. 2 LP , la taxe sur la valeur ajoutée (TVA) due lors de la réalisation d'un immeuble constitue, en tant qu'obligation de droit public ayant pour cause un fait qui ne s'est produit qu'après l'ouverture de la faillite, une dette de la masse (Masseverbindlichkeit) à payer en priorité sur le produit de la vente de l'immeuble concerné ( ATF 129 III 200 consid. 2).</w:t>
      </w:r>
    </w:p>
    <w:p>
      <w:r>
        <w:t>En l'espèce, la recourante ne conteste pas que la vente de l'immeuble en cause a eu des conséquences en matière de TVA et qu'une dette de TVA est née du fait de cette vente.</w:t>
      </w:r>
    </w:p>
    <w:p>
      <w:r>
        <w:rPr>
          <w:b/>
        </w:rPr>
        <w:t>E. 2</w:t>
      </w:r>
    </w:p>
    <w:p>
      <w:r>
        <w:t>La recourante conteste en revanche la qualification de dette de la masse au sens de l' art. 262 al. 2 LP - payable intégralement sur le produit de la vente de l'immeuble avant la distribution des deniers aux créanciers gagistes - de la facture de TVA litigieuse. En substance, elle considère que la jurisprudence appliquée ( ATF 129 III 200 ) concernait une "livraison de biens" et traitait donc de l'imposition de l'opération de vente en tant que telle, alors que dans le cas particulier il est question d'une "prestation à soi-même", qui ne serait pas un acte engendrant un chiffre d'affaires entre deux parties, mais une correction prévue par le droit régissant la TVA: il s'agirait d'assujettir à l'impôt d'anciennes opérations réalisées par la faillie relativement à son immeuble avec divers fournisseurs de prestations, dont les factures lui avaient permis de faire valoir le droit à la déduction de l'impôt TVA préalable. Au dire de la recourante, le débiteur de la dette TVA en cause serait donc la faillie ou plutôt sa masse en faillite.</w:t>
      </w:r>
    </w:p>
    <w:p>
      <w:r>
        <w:t>Une telle argumentation a trait à des questions relevant du droit fiscal matériel que seules les autorités administratives compétentes sont habilitées à trancher et non la Chambre de céans ( ATF 129 III 200 consid. 2.2.2). Pour vider sa contestation, la recourante doit donc être renvoyée à ouvrir action ou action subséquente (Nachklage) contre la masse. Un délai convenable doit lui être fixé à cet effet par l'administration de la faillite. Si ce délai n'est pas respecté, l'administration de la faillite a le droit de procéder à la distribution sans tenir compte de la prétention contestée ( ATF 75 III 19 consid. 3, 57; Antoine Favre, Droit des poursuites, 3e éd., p. 351/352; Dominique Rigot, Le recouvrement forcé des créances de droit public selon le droit de poursuite pour dettes et la faillite, thèse Lausanne 1991, p. 328 ss ch. 320; cf. en outre Matthias Staehelin, Kommentar zum Bundesgesetz über Schuldbetreibung und Konkurs, n. 34 s. ad art. 262 LP ; Amonn/Walther, Grundriss des Schuldbetreibungs- und Konkursrechts, 7e éd., Berne 2003, § 48 n. 8).</w:t>
      </w:r>
    </w:p>
    <w:p>
      <w:r>
        <w:t>Dans son courrier du 13 avril 2004, l'administration de la faillite a invité la recourante à "intervenir directement auprès des autorités compétentes" si elle entendait recourir contre sa décision d'acquitter le montant de TVA litigieux mis à la charge de l'adjudicataire. Elle ne lui a toutefois pas fixé de délai à cet effet. Dans sa lettre de confirmation de cette mise à charge du 12 mai 2004, l'administration de la faillite a simplement indiqué que sa décision pouvait faire l'objet d'une plainte auprès de la Commission cantonale de surveillance dans les 10 jours. Quand bien même la recourante ou son conseil aurait pu ou dû reconnaître, en faisant preuve de la diligence requise, que les indications de la décision attaquée étaient erronées quant à la voie de droit à suivre pour liquider la contestation soulevée (cf. ATF 124 I 255 consid. 1a/aa), il convient que l'administration de la faillite, qui a omis de le faire, fixe à la recourante un délai convenable pour agir utilement avant de procéder définitivement à la distribution des deniers.</w:t>
      </w:r>
    </w:p>
    <w:p>
      <w:r>
        <w:rPr>
          <w:b/>
        </w:rPr>
        <w:t>E. 3</w:t>
      </w:r>
    </w:p>
    <w:p>
      <w:r>
        <w:t>La recourante invoque une violation de l' art. 49 al. 2 ORFI , disposition prévoyant que l'adjudicataire ne peut pas être tenu d'effectuer d'autres paiements en sus du prix de vente, sauf s'ils figurent dans les conditions de vente. Attribuer la charge TVA aux frais de réalisation reviendrait, selon elle, à instaurer pour l'adjudicataire un devoir de paiement "en sus du prix d'adjudication", qui n'a pas été prévu en l'espèce par les conditions de vente.</w:t>
      </w:r>
    </w:p>
    <w:p>
      <w:r>
        <w:t>Sur ce point, la Chambre de céans partage le point de vue de la Commission cantonale de surveillance selon lequel il n'est pas question ici de frais mis à la charge de l'adjudicataire ès qualités. La solution serait et devrait être la même si l'immeuble avait été adjugé non à la créancière gagiste mais à un tiers: la taxe sur la valeur ajoutée liée à la réalisation forcée du gage serait payée par prélèvement sur le produit de la vente, et non mise à la charge de l'adjudicataire.</w:t>
      </w:r>
    </w:p>
    <w:p>
      <w:r>
        <w:t>Le grief de la recourante doit donc est rejeté.</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