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7B.69/2005 vom 10. Juni 2005</w:t>
      </w:r>
    </w:p>
    <w:p>
      <w:r>
        <w:t>Bundesgericht, 2005-06-10, FR</w:t>
      </w:r>
    </w:p>
    <w:p>
      <w:r>
        <w:rPr>
          <w:b/>
        </w:rPr>
        <w:t xml:space="preserve">Quelle: </w:t>
      </w:r>
      <w:r>
        <w:t>https://mcp.opencaselaw.ch/entscheid/bger_7B.69_2005</w:t>
      </w:r>
    </w:p>
    <w:p>
      <w:r>
        <w:t>FR: TF 7B.69/2005 du 10 juin 2005</w:t>
      </w:r>
    </w:p>
    <w:p>
      <w:r>
        <w:t>IT: TF 7B.69/2005 del 10 giugno 2005</w:t>
      </w:r>
    </w:p>
    <w:p>
      <w:pPr>
        <w:pStyle w:val="Heading2"/>
      </w:pPr>
      <w:r>
        <w:t>Regeste</w:t>
      </w:r>
    </w:p>
    <w:p>
      <w:r>
        <w:t>liquidation d'une faillite; adjudication | Droit des poursuites et faillites</w:t>
      </w:r>
    </w:p>
    <w:p>
      <w:pPr>
        <w:pStyle w:val="Heading2"/>
      </w:pPr>
      <w:r>
        <w:t>Erwägungen</w:t>
      </w:r>
    </w:p>
    <w:p>
      <w:r>
        <w:rPr>
          <w:b/>
        </w:rPr>
        <w:t>E. 1</w:t>
      </w:r>
    </w:p>
    <w:p>
      <w:r>
        <w:t>Dans un premier grief, le recourant invoque une violation de l' art. 256 al. 3 LP , aux termes duquel les biens de valeur élevée et les immeubles ne sont réalisés de gré à gré que si l'occasion a été donnée aux créanciers de formuler des offres supérieures. Le préposé substitut extraordinaire aurait violé cette disposition en omettant de renouveler la consultation des créanciers après avoir constaté que M.________ intervenait dans la procédure d'adjudication en lieu et place de G.________ SA. Ainsi qu'il ressort de l'arrêt attaqué et comme le relève le préposé substitut extraordinaire, ce grief est invoqué pour la première fois devant le Tribunal fédéral. La motivation d'une plainte, c'est-à-dire l'exposé des motifs et des moyens du plaignant, doit intervenir dans le délai de 10 jours de l' art. 17 al. 2 LP , une ampliation de la plainte hors de ce délai étant exclue ( ATF 126 III 30 ; 114 III 5 ; P.-R. Gilliéron, Commentaire de la loi fédérale sur la poursuite pour dettes et la faillite, n. 234 s. ad art. 17 LP ; Amonn/Walther, Grundriss des Schuldbetreibungs- und Konkursrechts, 7e éd., Berne 2003, § 6 n. 52). Faute d'avoir fait valoir le grief en question dans sa plainte du 12 mars 2004, le recourant ne peut plus en demander l'examen dans le présent recours. Au demeurant, l' art. 256 al. 3 LP sur le droit des créanciers de faire des offres supérieures n'est pas une disposition édictée dans l'intérêt public ou dans l'intérêt de personnes qui ne sont pas partie à la procédure, justifiant une annulation d'office en tout temps, indépendamment de toute plainte (Franco Lorandi, Betreibungsrechtliche Beschwerde und Nichtigkeit, ch. 82 et 91 ad art. 22 LP ). Le premier grief est donc irrecevable.</w:t>
      </w:r>
    </w:p>
    <w:p>
      <w:r>
        <w:rPr>
          <w:b/>
        </w:rPr>
        <w:t>E. 2</w:t>
      </w:r>
    </w:p>
    <w:p>
      <w:r>
        <w:t>Dans un deuxième grief, le recourant se prévaut du principe de l'interdiction de l'adjudication à un enchérisseur pour son nommable (Gilliéron, op. cit., n. 42 ad art. 126 LP et la jurisprudence citée) et soutient que l'offre de G.________ SA ne pouvait pas être prise en considération, lors des enchères internes du 18 février 2004, dans la mesure où elle était formulée "au nom d'une personne physique ou morale à déterminer"; en d'autres termes, seule ladite société, à l'exclusion de M.________, aurait pu participer auxdites enchères et se voir adjuger les droits mis en vente. Pour accréditer sa thèse, le recourant se réfère à l' ATF 128 III 104 rendu en matière immobilière. L'autorité cantonale supérieure de surveillance a relevé la tardiveté du grief, qui avait été soulevé pour la première fois le 15 juillet 2004, soit postérieurement à la décision de l'autorité cantonale inférieure de surveillance. Elle a toutefois laissé indécise la question de sa recevabilité au regard du droit cantonal de procédure, le recourant n'ayant pas indiqué pour quelles motifs il aurait été empêché de faire valoir le grief devant l'autorité cantonale inférieure de surveillance. L'exigence de la production d'un exposé des motifs et des moyens dans le délai de 10 jours est une exigence de droit fédéral (cf. A. Favre, Droit des poursuites, 3e éd., p. 70 ch. 2 in fine et consid. 1 ci-dessus), qui n'a pas été respectée en l'espèce s'agissant du grief en cause. Aucune requête de restitution de délai au sens de l' art. 33 al. 4 LP n'ayant été déposée en temps utile, ledit grief était irrecevable en instance cantonale, comme il l'est aussi en instance fédérale.</w:t>
      </w:r>
    </w:p>
    <w:p>
      <w:r>
        <w:rPr>
          <w:b/>
        </w:rPr>
        <w:t>E. 3</w:t>
      </w:r>
    </w:p>
    <w:p>
      <w:r>
        <w:t>Même s'il était recevable, le recours devrait être rejeté pour les motifs suivants.</w:t>
      </w:r>
    </w:p>
    <w:p>
      <w:r>
        <w:rPr>
          <w:b/>
        </w:rPr>
        <w:t>E. 3.1</w:t>
      </w:r>
    </w:p>
    <w:p>
      <w:r>
        <w:t>Le recourant invoque en vain le principe de l'interdiction de l'adjudication à un enchérisseur pour son nommable, dès lors que l'adjudication a eu lieu en l'espèce à une personne (M.________) qui avait fait une offre à titre personnel et pour son propre compte, offre supérieure à celle soumise aux créanciers et sur laquelle personne n'a surenchéri. Le recourant se réfère tout aussi vainement à l' ATF 128 III 104 . En effet, comme l'a relevé à juste titre l'autorité cantonale supérieure de surveillance, cet arrêt concerne une vente immobilière adjugée à une personne qui n'avait pas fait d'offre et n'était pas l'acquéreur désigné dans le procès-verbal d'attribution (arrêt précité, consid. 5 p. 111), alors que, dans le cas particulier, il s'agit d'une vente mobilière adjugée à une personne qui était désignée dans le procès-verbal de vente.</w:t>
      </w:r>
    </w:p>
    <w:p>
      <w:r>
        <w:rPr>
          <w:b/>
        </w:rPr>
        <w:t>E. 3.2</w:t>
      </w:r>
    </w:p>
    <w:p>
      <w:r>
        <w:t>Le délai fixé par l'office dans la circulaire qu'il adresse aux créanciers, en les invitant à formuler une offre supérieure ( art. 256 al. 3 LP ),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 C'est ce qui s'est produit en l'espèce avec l'offre de M.________. S'étant substitué à G.________ SA, dont il était membre, celui-ci a enchéri personnellement et pour son propre compte lors de la séance d'enchères internes prévue par la circulaire du 17 novembre 2003 (ch. 7), sans que ni le préposé substitut extraordinaire, ni l'autre participant à ladite séance (le représentant de W.________ SA) n'aient émis d'objection à cet égard. Ainsi, même si elle pouvait entrer en matière, la Chambre de céans ne verrait, à l'instar de l'autorité cantonale supérieure de surveillance, aucun motif d'annuler l'adjudication litigieuse.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