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7B.59/2001 vom 14. Februar 2001</w:t>
      </w:r>
    </w:p>
    <w:p>
      <w:r>
        <w:t>Bundesgericht, 2001-02-14, FR</w:t>
      </w:r>
    </w:p>
    <w:p>
      <w:r>
        <w:rPr>
          <w:b/>
        </w:rPr>
        <w:t xml:space="preserve">Quelle: </w:t>
      </w:r>
      <w:r>
        <w:t>https://mcp.opencaselaw.ch/entscheid/bger_7B.59_2001</w:t>
      </w:r>
    </w:p>
    <w:p>
      <w:r>
        <w:t>FR: TF 7B.59/2001 du 14 février 2001</w:t>
      </w:r>
    </w:p>
    <w:p>
      <w:r>
        <w:t>IT: TF 7B.59/2001 del 14 febbraio 2001</w:t>
      </w:r>
    </w:p>
    <w:p>
      <w:pPr>
        <w:pStyle w:val="Heading2"/>
      </w:pPr>
      <w:r>
        <w:t>Erwägungen</w:t>
      </w:r>
    </w:p>
    <w:p>
      <w:r>
        <w:rPr>
          <w:b/>
        </w:rPr>
        <w:t>E. 2</w:t>
      </w:r>
    </w:p>
    <w:p>
      <w:r>
        <w:t>a) L' art. 144 al. 4 LP prévoit que le produit net est distribué aux créanciers jusqu'à concurrence de leurs créances, y compris les "intérêts jusqu'au moment de la dernière réalisation".</w:t>
      </w:r>
    </w:p>
    <w:p>
      <w:r>
        <w:t>Selon l'autorité cantonale de surveillance, cette disposition ne permet pas de répondre à la question de savoir à quel moment cesse le cours des intérêts d'une créance saisie en mains d'un tiers, lorsque celui-ci remet à l'office les fonds saisis avant que la distribution aux créanciers puisse avoir lieu en raison d'un blocage pénal provisoire ou d'une procédure de revendication pendante. Les recourants contestent cette façon de voir: selon eux, les intérêts courraient jusqu'au moment où la distribution des deniers peut avoir lieu, le moment de la "dernière réalisation" selon l' art. 144 al. 4 LP étant celui où l'office se trouve objectivement en mesure de procéder à la distribution des deniers.</w:t>
      </w:r>
    </w:p>
    <w:p>
      <w:r>
        <w:t>b) Lorsqu'une créance saisie est payée à l'office des poursuites par le tiers débiteur, cette créance est par là-même réalisée, ce qui rend tout mode de réalisation superflu, l'office pouvant, sans attendre une réquisition de vente et aussitôt que le délai de participation est écoulé, en distribuer le montant aux créanciers qui y ont droit (Gilliéron, Commentaire de la loi fédérale sur la poursuite pour dettes et la faillite, n. 15 ad art. 100; n. 11 ad art. 116 et la jurisprudence citée; Jaeger/Walder/Kull/Kottmann, SchKG, n. 3 ad art. 98 et n. 16 ad art. 116). Non seulement le paiement du montant de la créance à l'office vaut ainsi réalisation, mais encore il éteint la dette en vertu de l' art. 12 LP , sans qu'il y ait lieu de se préoccuper de savoir si et quand l'argent est transmis au créancier ( ATF 116 III 56 consid. 2b p. 58 et les références; Frank Emmel, in: Kommentar zum Bundesgesetz über Schuldbetreibung und Konkurs, n. 14 ad art. 12).</w:t>
      </w:r>
    </w:p>
    <w:p>
      <w:r>
        <w:t>C'est dès lors à juste titre que l'autorité cantonale a confirmé la décision de l'office d'arrêter le cours des intérêts conventionnels au jour où le tiers débiteur lui a versé la somme de 1'523'668 fr. 42 comme produit de la saisie.</w:t>
      </w:r>
    </w:p>
    <w:p>
      <w:r>
        <w:t>Le fait qu'une action en revendication était pendante et qu'une nouvelle saisie pénale avait été ordonnée obligeait simplement l'office à consigner le montant reçu (Gilliéron, op. cit. , n. 11 et 19 ad art. 144; Christian Schöniger, in: Kommentar zum Bundesgesetz über Schuldbetreibung und Konkurs, n. 21 ad art. 144) et à le distribuer, avec les intérêts de consignation, une fois lesdits obstacles disparus, ce qui a été fait en l'espèce.</w:t>
      </w:r>
    </w:p>
    <w:p>
      <w:r>
        <w:t>c) La jurisprudence sur laquelle l'autorité cantonale de surveillance s'est fondée est certes critiquée en doctrine (cf. Frank Emmel, loc. cit. , n. 16 ad art. 12; Schöniger, loc. cit. , n. 76 ad art. 144; BlSchK 1991 p. 172). Cette critique tient surtout au caractère partiel du paiement fait à l'office en cas de saisie de salaire (paiement de quotes-parts de salaire) et à la pluralité des créanciers pouvant y prétendre, avec les conséquences d'ordre pratique que cela entraîne pour l'office. En l'espèce, on est en présence d'un paiement unique concernant une seule créance en poursuite et permettant de désintéresser intégralement ses titulaires, de sorte qu'il n'y a pas lieu de s'attarder sur la critique en question. Contrairement à ce qu'allèguent les recourants, il est constant au demeurant que le versement opéré par le tiers débiteur l'a été pour leur compte, le montant transféré l'ayant été "comme produit de la saisie" en cause et correspondant au "capital de la créance à l'origine du séquestre, amplifié des intérêts à 10% du 1er juillet 1990 au 20 avril 1993".</w:t>
      </w:r>
    </w:p>
    <w:p>
      <w:r>
        <w:t>__________</w:t>
      </w:r>
    </w:p>
    <w:p>
      <w:r>
        <w:t>Lausanne, le 23 mars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