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7B.58/2002 vom 4. Juni 2002</w:t>
      </w:r>
    </w:p>
    <w:p>
      <w:r>
        <w:t>Bundesgericht, 2002-06-04, DE</w:t>
      </w:r>
    </w:p>
    <w:p>
      <w:r>
        <w:rPr>
          <w:b/>
        </w:rPr>
        <w:t xml:space="preserve">Quelle: </w:t>
      </w:r>
      <w:r>
        <w:t>https://mcp.opencaselaw.ch/entscheid/bger_7B.58_2002</w:t>
      </w:r>
    </w:p>
    <w:p>
      <w:r>
        <w:t>FR: TF 7B.58/2002 du 4 juin 2002</w:t>
      </w:r>
    </w:p>
    <w:p>
      <w:r>
        <w:t>IT: TF 7B.58/2002 del 4 giugno 2002</w:t>
      </w:r>
    </w:p>
    <w:p>
      <w:pPr>
        <w:pStyle w:val="Heading2"/>
      </w:pPr>
      <w:r>
        <w:t>Regeste</w:t>
      </w:r>
    </w:p>
    <w:p>
      <w:r>
        <w:t>Schuldbetreibungs- und Konkursrecht</w:t>
      </w:r>
    </w:p>
    <w:p>
      <w:pPr>
        <w:pStyle w:val="Heading2"/>
      </w:pPr>
      <w:r>
        <w:t>Erwägungen</w:t>
      </w:r>
    </w:p>
    <w:p>
      <w:r>
        <w:rPr>
          <w:b/>
        </w:rPr>
        <w:t>E. 1</w:t>
      </w:r>
    </w:p>
    <w:p>
      <w:r>
        <w:t>A.________,</w:t>
      </w:r>
    </w:p>
    <w:p>
      <w:r>
        <w:rPr>
          <w:b/>
        </w:rPr>
        <w:t>E. 2</w:t>
      </w:r>
    </w:p>
    <w:p>
      <w:r>
        <w:t>Das Obergericht geht davon aus, ein Rechtsvorschlag sei rechtzeitig, wenn die Erklärung vor Ablauf der Frist in den vor dem Betreibungsamt angebrachten Briefkasten gelegt worden sei, zumal das Betreibungsamt verpflichtet sei, den Briefkasten jeden Tag am Ende der Bürozeit zu leeren; wer während der Bürozeiten den vor dem Betreibungsamt angebrachten Briefkasten benütze, dürfe damit rechnen, dass das Amt den Inhalt des Briefkastens bei Büroschluss feststelle. Dem Vorbringen eines Betriebenen, er habe die Erklärung des Rechtsvorschlags an einem bestimmten Tag in den Briefkasten des Betreibungsamtes gelegt, müsse Glauben geschenkt werden, sofern keine Gegentatsachen bekannt seien. Zu den Gegebenheiten des konkreten Falls hat die Vorinstanz festgehalten, dass der letzte Tag der Frist zur Erhebung des Rechtsvorschlags auf den 27. August 2001 (Montag) gefallen sei. Umstritten sei, ob der als Zeuge befragte D.________, der die Erklärung im Auftrag der Beschwerdeführer angeblich überbracht habe, die Dokumente tatsächlich noch an diesem Tag oder aber erst später in den Briefkasten des Betreibungsamtes Z.________ gelegt habe. Dieses Amt habe seinerseits erklärt, die Rechtsvorschläge seien am Montag, 3. September 2001, dem Briefkasten entnommen worden und hätten daher frühestens am 31. August 2001 eingeworfen worden sein können. Angesichts der von ihm festgehaltenen Umstände prüfte das Obergericht, ob auf die Zeugenaussage von D.________ oder auf die Sachdarstellung im Amtsbericht des Betreibungsamtes abzustellen sei. Nach eingehender Würdigung der Verhältnisse und der beiderseitigen Interessenlage gelangte es zum Schluss, die Darstellung des Betreibungsamtes sei mit an Sicherheit grenzender Wahrscheinlichkeit richtig; die Beschwerdeführer hätten nicht einmal glaubhaft zu machen, geschweige denn zu beweisen vermocht, dass die Urkunden mit den Rechtsvorschlagserklärungen spätestens am 27. August 2001 der Post oder dem Betreibungsamt übergeben worden seien. Weitere Beweiserhebungen seien bei dieser Sachlage nicht notwendig; insbesondere könne davon abgesehen werden, abzuklären, wer jeweils den Briefkasten des Betreibungsamtes leere.</w:t>
      </w:r>
    </w:p>
    <w:p>
      <w:r>
        <w:rPr>
          <w:b/>
        </w:rPr>
        <w:t>E. 3</w:t>
      </w:r>
    </w:p>
    <w:p>
      <w:r>
        <w:t>Die Folgerung der Vorinstanz, es sei nicht erstellt, dass die Rechtsvorschlagserklärungen spätestens am 27. August 2001 in den Briefkasten des Betreibungsamtes gelegt worden seien, ist tatsächlicher Natur. Sie ist deshalb für die erkennende Kammer verbindlich, zumal nicht dargetan wird, sie sei unter Verletzung bundesrechtlicher Beweisvorschriften zustande gekommen, und nichts auf ein offensichtliches Versehen hindeutet (vgl. Art. 63 Abs. 2 in Verbindung mit Art. 81 OG ). Soweit die Beschwerdeführer sich mit dem angefochtenen Entscheid überhaupt auseinandersetzen, sind ihre Vorbringen unzulässig: Dass die Würdigung der Beweise, namentlich die Beurteilung der Glaubwürdigkeit der Aussagen des Zeugen D.________, willkürlich sei, hätten sie mit staatsrechtlicher Beschwerde rügen müssen.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