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7B.2/2003 vom 20. März 2003</w:t>
      </w:r>
    </w:p>
    <w:p>
      <w:r>
        <w:t>Bundesgericht, 2003-03-20, DE</w:t>
      </w:r>
    </w:p>
    <w:p>
      <w:r>
        <w:rPr>
          <w:b/>
        </w:rPr>
        <w:t xml:space="preserve">Quelle: </w:t>
      </w:r>
      <w:r>
        <w:t>https://mcp.opencaselaw.ch/entscheid/bger_7B.2_2003</w:t>
      </w:r>
    </w:p>
    <w:p>
      <w:r>
        <w:t>FR: TF 7B.2/2003 du 20 mars 2003</w:t>
      </w:r>
    </w:p>
    <w:p>
      <w:r>
        <w:t>IT: TF 7B.2/2003 del 20 marzo 2003</w:t>
      </w:r>
    </w:p>
    <w:p>
      <w:pPr>
        <w:pStyle w:val="Heading2"/>
      </w:pPr>
      <w:r>
        <w:t>Erwägungen</w:t>
      </w:r>
    </w:p>
    <w:p>
      <w:r>
        <w:rPr>
          <w:b/>
        </w:rPr>
        <w:t>E. 1</w:t>
      </w:r>
    </w:p>
    <w:p>
      <w:r>
        <w:t>In ihrer staatsrechtlichen Beschwerde wirft die Beschwerdeführerin der kantonalen Aufsichtsbehörde willkürliche Beweiswürdigung vor. Wie sich aus den nachstehenden Erwägungen ergeben wird, richtet sich die Rüge gegen eine Tatsachenfeststellung, die unerheblich ist. Es rechtfertigt sich daher, die vorliegende Beschwerde in Abweichung von dem in Art. 57 Abs. 5 (in Verbindung mit Art. 81) OG festgelegten Grundsatz vorab zu behandeln.</w:t>
      </w:r>
    </w:p>
    <w:p>
      <w:r>
        <w:rPr>
          <w:b/>
        </w:rPr>
        <w:t>E. 2.1</w:t>
      </w:r>
    </w:p>
    <w:p>
      <w:r>
        <w:t>Strittig ist, ob die Steuerbeträge, die die Gemeinde X.________ auf Grund des verwaltungsgerichtlichen Entscheids vom 10. Januar 2001 zurückzuerstatten hat, den (nicht gedeckten) Gläubigern in der jeweiligen Grundpfandbetreibung (Nr. y und Nr. z) zu Gute kommen, oder ob sie der Beschwerdeführerin zustehen.</w:t>
      </w:r>
    </w:p>
    <w:p>
      <w:r>
        <w:rPr>
          <w:b/>
        </w:rPr>
        <w:t>E. 2.2</w:t>
      </w:r>
    </w:p>
    <w:p>
      <w:r>
        <w:t>Mit Bezug auf das Zusammentreffen von Konkurs und Spezialexekution bestimmt Art. 206 Abs. 1 SchKG , dass die im Zeitpunkt der Konkurseröffnung hängigen Betreibungen dahinfallen. Indessen sieht Art. 199 Abs. 2 SchKG vor, dass gepfändete Barbeträge, abgelieferte Beträge bei Forderungs- und Einkommenspfändung sowie der Erlös bereits verwerteter Vermögensstücke nach den einschlägigen Vorschriften ( Art. 144-150 SchKG ) verteilt werden, sofern die Fristen für den Pfändungsanschluss abgelaufen sind, und dass (nur) ein allfälliger Überschuss in die Konkursmasse fällt. Diese Regelung ist sinngemäss auch für die Betreibung auf Pfandverwertung heranzuziehen. Sie ist beispielsweise in Art. 85 (zweites Lemma) KOV (SR 281.32) enthalten, wonach bei der Aufstellung der Verteilungsliste im Konkurs bei einem verpfändeten Grundstück vorab die Kosten (für Inventur, Verwaltung und Verwertung) abzuziehen und die Pfandforderungen vollständig zu decken sind und nur ein allfälliger Überschuss zum Erlös des freien Massevermögens geschlagen wird. Im gleichen Sinne bestimmt Art. 96 VZG (SR 281.42), dass (im Falle der Eröffnung des Konkurses über den Schuldner und Pfandeigentümer vor Verwertung des Grundpfandes) die vor Konkurseröffnung fällig gewordenen und noch nicht verteilten Miet- und Pachtzinse unter Vorbehalt des den Grundpfandgläubigern nach Art. 806 Abs. 1 ZGB zustehenden Vorzugsrechts in die Konkursmasse fallen.</w:t>
      </w:r>
    </w:p>
    <w:p>
      <w:r>
        <w:rPr>
          <w:b/>
        </w:rPr>
        <w:t>E. 2.3</w:t>
      </w:r>
    </w:p>
    <w:p>
      <w:r>
        <w:t>Im Zeitpunkt der Eröffnung des Konkurses über A.________ waren in den gegen ihn gerichteten Betreibungen Nrn. y und z die Pfandgegenstände verwertet. Der dabei erzielte Erlös stand mithin in erster Linie den Grundpfandgläubigern zu.</w:t>
      </w:r>
    </w:p>
    <w:p>
      <w:r>
        <w:rPr>
          <w:b/>
        </w:rPr>
        <w:t>E. 3</w:t>
      </w:r>
    </w:p>
    <w:p>
      <w:r>
        <w:t>Dass die Gläubiger der den Steuerpfandrechten nachgehenden Forderungen keine Lastenbereinigungsklagen angehoben haben, vermag am Gesagten nichts zu ändern. Die Beschwerdeführerin, die glaubt, wegen der Untätigkeit der erwähnten Pfandgläubiger den zufolge Dahinfallens der Steuerforderungen frei gewordenen Betrag für sich beanspruchen zu können, misst dem Lastenverzeichnis bzw. der Rechtskraft eines Lastenverzeichnisses eine unzutreffende Bedeutung und Tragweite bei.</w:t>
      </w:r>
    </w:p>
    <w:p>
      <w:r>
        <w:rPr>
          <w:b/>
        </w:rPr>
        <w:t>E. 3.1</w:t>
      </w:r>
    </w:p>
    <w:p>
      <w:r>
        <w:t>Das Lastenverzeichnis gibt Auskunft über die auf dem Grundstück lastenden dinglichen und realobligatorischen Rechte. Einerseits soll der Erwerber erfahren, mit welchen Lasten er das Grundstück übernimmt, und andererseits sollen die beteiligten Pfandgläubiger im Hinblick auf die Verteilung wissen, welche Rechte ihrem Anspruch vorgehen oder diesem gleichgestellt sind (Pierre-Robert Gilliéron, Commentaire de la loi fédérale sur la poursuite pour dettes et la faillite, N. 17 zu Art. 140 SchKG ; Kurt Amonn/Dominik Gasser, Grundriss des Schuldbetreibungs- und Konkursrechts, 6. Aufl., Rz. 22 zu § 28). Die Wirkungen des Lastenverzeichnisses beschränken sich naturgemäss auf das jeweilige Betreibungsverfahren.</w:t>
      </w:r>
    </w:p>
    <w:p>
      <w:r>
        <w:rPr>
          <w:b/>
        </w:rPr>
        <w:t>E. 3.2</w:t>
      </w:r>
    </w:p>
    <w:p>
      <w:r>
        <w:t>In Anbetracht der dargelegten Funktion des Lastenverzeichnisses kann die (stillschweigende) Anerkennung einer Pfandforderung durch einen (im Rang nachgehenden oder gleichrangigen) Pfandgläubiger nicht zur Folge haben, dass dieser bei einer nachträglichen Streichung der fraglichen Forderung aus Gründen, wie sie hier vorliegen, von der Verteilung des frei gewordenen Betrags ausgeschlossen wäre. Der untätig gebliebene Pfandgläubiger hat nicht auch zu Gunsten nicht pfandrechtlich gesicherter Gläubiger auf eine Anfechtung verzichtet. Er hat mit andern Worten nicht den Untergang seines Pfandrechts schlechthin in Kauf genommen. Umgekehrt bewirkt die erfolgreiche Anfechtung einer pfandgesicherten Forderung durch den Schuldner bzw. Pfandeigentümer nicht, dass dieser den entsprechenden Betrag für sich beanspruchen könnte. Der frei gewordene Betrag hat der Befriedigung der andern Pfandgläubiger zu dienen, würde doch sonst das Haftungssubstrat ohne Einwilligung der daran Berechtigten verkleinert. Es ist mithin so zu halten, wie wenn der dahingefallene Eintrag gar nie in das Lastenverzeichnis aufgenommen worden wäre. Die vorliegenden Verhältnisse sind mit den Gegebenheiten bei einer leeren Pfandstelle zu vergleichen. Für diesen Fall bestimmt Art. 815 ZGB - im Sinne einer Durchbrechung des gesetzlichen Prinzips der festen Pfandstelle ( Art. 813 ZGB ) - ausdrücklich, dass bei einer Verwertung des Pfandes der Erlös ohne Rücksicht auf leere Pfandstellen den wirklichen Pfandgläubigern (nach ihrem Range) zugewiesen wird (und demnach nur ein allfälliger Überschuss den nicht pfandrechtlich gesicherten Gläubigern zukommt).</w:t>
      </w:r>
    </w:p>
    <w:p>
      <w:r>
        <w:rPr>
          <w:b/>
        </w:rPr>
        <w:t>E. 4</w:t>
      </w:r>
    </w:p>
    <w:p>
      <w:r>
        <w:t>Stand der durch den Entscheid des kantonalen Verwaltungsgerichts vom 10. Januar 2001 frei gewordene Betrag nach dem Gesagten nicht A.________ zu, kann er auch nicht zur Konkursmasse gehören. Die kantonalen Aufsichtsbehörden haben deren Beschwerde deshalb zu Recht abgewiesen, und die vorliegende Beschwerde ist ihrerseits abzuweisen.</w:t>
      </w:r>
    </w:p>
    <w:p>
      <w:r>
        <w:rPr>
          <w:b/>
        </w:rPr>
        <w:t>E. 5</w:t>
      </w:r>
    </w:p>
    <w:p>
      <w:r>
        <w:t>Bei diesem Ausgang des Verfahrens ändert sich an der Rechtsstellung der Grundpfandgläubiger nichts. Es besteht daher kein Anlass, sie zu einer Stellungnahme zur Beschwerde einzuladen. Indessen rechtfertigt es sich, denjenigen von ihnen, die um Zulassung zum Beschwerdeverfahren nachgesucht haben, den vorliegenden Entscheid zuzustellen.</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