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7B.27/2003 vom 12. Mai 2003</w:t>
      </w:r>
    </w:p>
    <w:p>
      <w:r>
        <w:t>Bundesgericht, 2003-05-12, DE</w:t>
      </w:r>
    </w:p>
    <w:p>
      <w:r>
        <w:rPr>
          <w:b/>
        </w:rPr>
        <w:t xml:space="preserve">Quelle: </w:t>
      </w:r>
      <w:r>
        <w:t>https://mcp.opencaselaw.ch/entscheid/bger_7B.27_2003</w:t>
      </w:r>
    </w:p>
    <w:p>
      <w:r>
        <w:t>FR: TF 7B.27/2003 du 12 mai 2003</w:t>
      </w:r>
    </w:p>
    <w:p>
      <w:r>
        <w:t>IT: TF 7B.27/2003 del 12 maggio 2003</w:t>
      </w:r>
    </w:p>
    <w:p>
      <w:pPr>
        <w:pStyle w:val="Heading2"/>
      </w:pPr>
      <w:r>
        <w:t>Regeste</w:t>
      </w:r>
    </w:p>
    <w:p>
      <w:r>
        <w:t>Schuldbetreibungs- und Konkursrecht</w:t>
      </w:r>
    </w:p>
    <w:p>
      <w:pPr>
        <w:pStyle w:val="Heading2"/>
      </w:pPr>
      <w:r>
        <w:t>Erwägungen</w:t>
      </w:r>
    </w:p>
    <w:p>
      <w:r>
        <w:rPr>
          <w:b/>
        </w:rPr>
        <w:t>E. 1</w:t>
      </w:r>
    </w:p>
    <w:p>
      <w:r>
        <w:t>Für den Fall, dass am Beschwerdeverfahren Beteiligte in ihrer allfälligen Vernehmlassung zur Beschwerde neue Tatsachen und Beweismittel vorbringen sollten, ersucht die Beschwerdeführerin um Durchführung eines zweiten Schriftenwechsels. Wie sich aus den nachstehenden Darlegungen ergeben wird, besteht kein Anlass, diesem Begehren stattzugeben.</w:t>
      </w:r>
    </w:p>
    <w:p>
      <w:r>
        <w:rPr>
          <w:b/>
        </w:rPr>
        <w:t>E. 2</w:t>
      </w:r>
    </w:p>
    <w:p>
      <w:r>
        <w:t>Die Firma Y.________ spricht der Beschwerdeführerin die Legitimation zur Beschwerde ab. Dass jene im Konkurs eine Forderung angemeldet habe, stellt sie nicht in Abrede; sie wendet jedoch ein, der geltend gemachte Anspruch sei noch nicht kolloziert und werde von ihr bestritten. Es steht der erkennenden Kammer nicht zu, der von der Konkursverwaltung zu erlassenden Kollokationsverfügung vorzugreifen. Beim gegenwärtigen Stand der Dinge ist die Legitimation der Beschwerdeführerin zu bejahen und aus dieser Sicht auf die Beschwerde deshalb einzutreten.</w:t>
      </w:r>
    </w:p>
    <w:p>
      <w:r>
        <w:rPr>
          <w:b/>
        </w:rPr>
        <w:t>E. 3</w:t>
      </w:r>
    </w:p>
    <w:p>
      <w:r>
        <w:t>Die Beschwerdeführerin wirft der kantonalen Aufsichtsbehörde unter Berufung auf Art. 20a Abs. 2 Ziff. 4 SchKG vor, sie habe den Entscheid nicht rechtsgenügend begründet, seien doch wesentliche von ihr vorgetragene Argumente unbehandelt geblieben. Wie bei der aus Art. 29 Abs. 2 BV abgeleiteten Pflicht einer Behörde, ihre Entscheide zu begründen, geht es auch bei der erwähnten gesetzlichen Bestimmung darum, dass sich der vom Entscheid Betroffene über dessen Tragweite ein Bild machen und ihn in voller Kenntnis der Sache gegebenenfalls bei der oberen Instanz anfechten kann (dazu BGE 126 I 97 E. 2b S. 102 f. mit Hinweisen; Pierre-Robert Gilliéron, Commentaire de la loi fédérale sur la poursuite pour dettes et la faillite, Lausanne 1999, N 106 f. zu Art. 20a; Flavio Cometta, Kommentar zum SchKG, Basel 1998, N 40 zu Art. 20a). Diese Voraussetzungen sind hier erfüllt. Die kantonale Aufsichtsbehörde verletzt die ihr obliegende Begründungspflicht nicht schon dadurch, dass sie sich nicht mit allen Parteistandpunkten auseinandersetzt und jedes Vorbringen widerlegt. Im Übrigen bleibt es der Beschwerdeführerin unbenommen, ihre rechtlichen Einwendungen auch der erkennenden Kammer vorzutragen.</w:t>
      </w:r>
    </w:p>
    <w:p>
      <w:r>
        <w:rPr>
          <w:b/>
        </w:rPr>
        <w:t>E. 4.1</w:t>
      </w:r>
    </w:p>
    <w:p>
      <w:r>
        <w:t>Das summarische Konkursverfahren zeichnet sich dadurch aus, dass es einfach, rasch und weitgehend formlos ist. Es liegt zur Hauptsache in den Händen der Konkursverwaltung; Gläubigerversammlungen finden nur ausnahmsweise statt ( BGE 121 III 142 E. 1b S. 143). Die Verwertung ist nach den in Art. 256 Abs. 2-4 SchKG festgelegten Regeln und unter bestmöglicher Wahrung der Interessen der Gläubiger durchzuführen ( Art. 231 Abs. 3 Ziff. 2 SchKG ). Wie die kantonale Aufsichtsbehörde zutreffend bemerkt, ist Art. 256 Abs. 1 SchKG , wonach ein freihändiger Verkauf der zur Masse gehörenden Vermögenswerte einen entsprechenden Beschluss der Gläubiger voraussetzt, hier nicht anzuwenden. Indessen hat die Konkursverwaltung, die im summarischen Verfahren einen Freihandverkauf anstrebt, Art. 256 Abs. 3 SchKG zu beachten und demnach bei Vermögensgegenständen von bedeutendem Wert und bei Grundstücken den Gläubigern die Gelegenheit einzuräumen, höhere Angebote zu machen.</w:t>
      </w:r>
    </w:p>
    <w:p>
      <w:r>
        <w:rPr>
          <w:b/>
        </w:rPr>
        <w:t>E. 4.2</w:t>
      </w:r>
    </w:p>
    <w:p>
      <w:r>
        <w:t>Die kantonale Aufsichtsbehörde hat unter Hinweis auf die dargelegte gesetzliche Ordnung erklärt, das Konkursamt habe nicht nur die einschlägigen Vorschriften beachtet, sondern den Gläubigern noch darüber hinaus gehende Rechte gewährt. Neben dem Recht zur Einreichung einer besseren Offerte sei den Gläubigern noch die Gelegenheit eingeräumt worden, den vorgeschlagenen Freihandverkauf allenfalls abzulehnen. Sodann hält die Vorinstanz fest, dass die absolute Mehrheit der Gläubiger gegen den angestrebten Freihandverkauf nicht opponiert und ihn damit gutgeheissen habe, woraus sie schliesst, dass die Konkursverwaltung formell zum Freihandverkauf berechtigt sei. Dass das Konkursamt mit einem Zirkular an die Gläubiger gelangt sei, könne nicht beanstandet werden, würden doch im summarischen Verfahren in der Regel keine Gläubigerversammlungen einberufen.</w:t>
      </w:r>
    </w:p>
    <w:p>
      <w:r>
        <w:rPr>
          <w:b/>
        </w:rPr>
        <w:t>E. 5</w:t>
      </w:r>
    </w:p>
    <w:p>
      <w:r>
        <w:t>Mit diesen Erwägungen setzt sich die Beschwerdeführerin nicht auseinander. Insbesondere legt sie in keiner Weise dar, inwiefern die vorinstanzliche Auffassung, das Konkursamt sei unter den festgestellten Gegebenheiten, namentlich angesichts der (stillschweigenden) Zustimmung durch die Mehrheit der Gläubiger, berechtigt, den Freihandverkauf mit X.________ (zu den vorgesehenen Bedingungen) zu vollziehen, gegen Bundesrecht verstossen soll. Ihre Ausführungen zur Angemessenheit dieses Verkaufs stossen unter diesen Umständen ebenso ins Leere wie die Vorbringen zum Eigenkapital und zur Zahlungsfähigkeit der Firma Y.________, zum Wert der in Frage stehenden Aktien, zum Verkaufsprozess sowie zum möglichen Ergebnis und zur Dringlichkeit des Verkaufs. Nach dem Gesagten ist auch der Rüge der Verletzung von Art. 20a Abs. 2 Ziff. 2 SchKG der Boden entzogen. Abgesehen davon, trifft es einerseits zwar zu, dass die Aufsichtsbehörde nach dieser Bestimmung den für ihren Entscheid massgeblichen Sachverhalt von Amtes wegen festzustellen hat, doch besteht für die Parteien andererseits eine entsprechende Mitwirkungspflicht (dazu BGE 123 III 328 E. 3 S. 329). Was die Beschwerdeführerin vorträgt, stellt im Übrigen zu einem grossen Teil eine im Verfahren vor der erkennenden Kammer unzulässige Kritik an der Würdigung der tatsächlichen Verhältnisse durch die Vorinstanz dar: Dass deren Feststellungen unter Verletzung bundesrechtlicher Beweisvorschriften zustande gekommen wären, ist nicht dargetan, und es liegen auch keine Anhaltspunkte für ein offensichtliches Versehen vor (vgl. Art. 63 Abs. 2 in Verbindung mit Art. 81 OG ). Zu den Ausführungen der Beschwerdeführerin bezüglich des Beizugs einer Drittperson für den Verkauf eines Unternehmens ist zu bemerken, dass es nicht nur darum geht, ob hierfür eine gesetzliche Grundlage vorhanden ist. Es müsste zudem dargetan sein, dass der Verzicht der Konkursverwaltung, einen Dritten mit der Veräusserung zu beauftragen, gegen Bundesrecht, namentlich etwa die Pflicht, die Interessen der Gläubiger bestmöglich zu wahren ( Art. 231 Abs. 3 Ziff. 2 SchKG ), verstösst.</w:t>
      </w:r>
    </w:p>
    <w:p>
      <w:r>
        <w:rPr>
          <w:b/>
        </w:rPr>
        <w:t>E. 6</w:t>
      </w:r>
    </w:p>
    <w:p>
      <w:r>
        <w:t>Soweit die Beschwerdeführerin schliesslich den Einbezug der Firma Y.________ in das kantonale Beschwerdeverfahren beanstandet, ist darauf hinzuweisen, dass als Verfahrensbeteiligter auch ein Dritter in Betracht kommt, falls dessen Rechtsstellung berührt ist (Cometta, a.a.O., N 45 zu Art. 17). Eine Verletzung von Bundesrecht ist der Vorinstanz in diesem Zusammenhang nicht vorzuwerfen.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