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7B.27/2001 vom 7. März 2001</w:t>
      </w:r>
    </w:p>
    <w:p>
      <w:r>
        <w:t>Bundesgericht, 2001-03-07, IT</w:t>
      </w:r>
    </w:p>
    <w:p>
      <w:r>
        <w:rPr>
          <w:b/>
        </w:rPr>
        <w:t xml:space="preserve">Quelle: </w:t>
      </w:r>
      <w:r>
        <w:t>https://mcp.opencaselaw.ch/entscheid/bger_7B.27_2001</w:t>
      </w:r>
    </w:p>
    <w:p>
      <w:r>
        <w:t>FR: TF 7B.27/2001 du 7 mars 2001</w:t>
      </w:r>
    </w:p>
    <w:p>
      <w:r>
        <w:t>IT: TF 7B.27/2001 del 7 marzo 2001</w:t>
      </w:r>
    </w:p>
    <w:p>
      <w:pPr>
        <w:pStyle w:val="Heading2"/>
      </w:pPr>
      <w:r>
        <w:t>Erwägungen</w:t>
      </w:r>
    </w:p>
    <w:p>
      <w:r>
        <w:rPr>
          <w:b/>
        </w:rPr>
        <w:t>E. 1</w:t>
      </w:r>
    </w:p>
    <w:p>
      <w:r>
        <w:t>L'autorità di vigilanza ha escluso, vista la sistematica della legge, l'applicazione dell' art. 277 LEF in materia di esecuzione ordinaria o in via di realizzazione del pegno. I ricorrenti sembrano ritenere il contrario, citando a più riprese la predetta norma e riferendosi alla giurisprudenza che la applica.</w:t>
      </w:r>
    </w:p>
    <w:p>
      <w:r>
        <w:t>Ora, già in DTF 30 I 195 consid. 1 il Tribunale federale aveva rilevato che l' art. 277 LEF non è applicabile nell'ambito di un pignoramento. In DTF 120 III 89 il Tribunale federale ha poi specificato che una volta eseguito il pignoramento degli oggetti sequestrati nella successiva procedura di convalida del sequestro, non è più possibile ottenere uno svincolo dietro garanzia ai sensi dell' art. 277 LEF . Inoltre, contrariamente a quanto indicato nell'atto ricorsuale, la concreta fattispecie, in cui è stato effettuato un pignoramento provvisorio, è espressamente regolata dalla legge all' art. 96 LEF . A torto quindi i ricorrenti richiamano per il caso in esame l' art. 277 LEF e la relativa prassi.</w:t>
      </w:r>
    </w:p>
    <w:p>
      <w:r>
        <w:rPr>
          <w:b/>
        </w:rPr>
        <w:t>E. 2</w:t>
      </w:r>
    </w:p>
    <w:p>
      <w:r>
        <w:t>a) I ricorrenti insistono sul fatto che il credito complessivo vantato dal creditore procedente ammonta a fr. 150'000.-- e ritengono che prestando una garanzia per tale importo quest'ultimo risulta integralmente soddisfatto.</w:t>
      </w:r>
    </w:p>
    <w:p>
      <w:r>
        <w:t>La sentenza cantonale ha per effetto che il creditore sarebbe garantito per il doppio della somma senza alcun motivo legittimo. Con la prestazione di una garanzia di fr. 150'000.-- deve pertanto essere annullato il pignoramento di tutti i fondi.</w:t>
      </w:r>
    </w:p>
    <w:p>
      <w:r>
        <w:t>b) Giusta l' art. 96 cpv. 1 LEF è fatto divieto al debitore, sotto minaccia di pena, di disporre, senza l'autorizzazione dell'Ufficiale, degli oggetti pignorati. L'Ufficiale può accordare una tale autorizzazione unicamente se i diritti acquisiti dal creditore con il pignoramento non vengono pregiudicati o minacciati (Jaeger/Walder/Kull/Kottmann, Das Bundesgesetz über Schuldbetreibung und Konkurs, vol. I, n. 7 all' art. 96 LEF ; Foex, Commento basilese, n. 12 all' art. 96 LEF , cfr. anche Gilliéron, Commentaire de la loi fédérale sur la poursuite pour dettes et la faillite, vol. II, n. 49 all' art. 96 LEF , secondo cui, al fine di evitare un'azione di responsabilità, l'Ufficiale deve anche accertarsi del consenso dei creditori pignoranti). Inoltre, in virtù dell' art. 70 cpv. 2 LEF , quando per lo stesso debito si procede contemporaneamente contro più debitori solidali, occorre notificare ad ognuno di essi un precetto esecutivo. In tal caso non trattasi di una sola esecuzione, ma di un numero di esecuzioni distinte pari al numero di debitori escussi, ognuna rubricata separatamente e soggetta a una propria tassa (Gilliéron, op. cit. , n. 15 e 20 all' art. 70 LEF ). Presso ogni debitore escusso deve poi essere pignorata l'intera somma posta in esecuzione (Jaeger/Walder/Kull/Kottmann, op. cit. , n. 3 all' art. 70 LEF ).</w:t>
      </w:r>
    </w:p>
    <w:p>
      <w:r>
        <w:t>Ora, in base ai vincolanti accertamenti di fatto contenuti nella sentenza impugnata (combinati art. 81 e 63 cpv. 2 OG ) risulta che sono state pignorate quote di comproprietà di fondi da ciascun debitore per oltre fr.</w:t>
      </w:r>
    </w:p>
    <w:p>
      <w:r>
        <w:t>152'000.-- e che il valore di stima della particella n. YYY è di fr. 360'510.--. Ne segue che, qualora si operasse lo svincolo di tale fondo contro il pagamento di una garanzia di soli fr. 150'000.--, il creditore rischierebbe di essere pregiudicato nei propri diritti. Inoltre i ricorrenti misconoscono che la facoltà del creditore di escutere ogni debitore solidale per l'intero credito trova fondamento nel fatto che giusta l' art. 144 CO il creditore può esigere da tutti i debitori solidali tutto il debito e che tutti i debitori restano obbligati finché sia estinta l'intera obbligazione (cfr. von Thur/Escher, Allgemeiner Teil des Schweizerischen Obligationenrechts, 3a ed., vol. 2, pag. 304). È evidente che con la prestazione di una garanzia bancaria in sostituzione dei beni pignorati non si procede ad un'estinzione del debito. Si può infine rilevare che in concreto la tesi ricorsuale, secondo cui per ottenere la facoltà di disporre sui beni pignorati è sufficiente la prestazione di una garanzia pari al credito di una sola esecuzione, equivale a liberare uno dei due debitori solidali, prima che il creditore sia stato soddisfatto.</w:t>
      </w:r>
    </w:p>
    <w:p>
      <w:r>
        <w:rPr>
          <w:b/>
        </w:rPr>
        <w:t>E. 3</w:t>
      </w:r>
    </w:p>
    <w:p>
      <w:r>
        <w:t>Da quanto precede segue che il ricorso si rivela infondato e come tale dev'essere respinto. Non si preleva tassa di giustizia e non si assegnano ripetibili ( art. 20a cpv. 1 LEF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