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7B.269/2002 vom 21. März 2003</w:t>
      </w:r>
    </w:p>
    <w:p>
      <w:r>
        <w:t>Bundesgericht, 2003-03-21, DE</w:t>
      </w:r>
    </w:p>
    <w:p>
      <w:r>
        <w:rPr>
          <w:b/>
        </w:rPr>
        <w:t xml:space="preserve">Quelle: </w:t>
      </w:r>
      <w:r>
        <w:t>https://mcp.opencaselaw.ch/entscheid/bger_7B.269_2002</w:t>
      </w:r>
    </w:p>
    <w:p>
      <w:r>
        <w:t>FR: TF 7B.269/2002 du 21 mars 2003</w:t>
      </w:r>
    </w:p>
    <w:p>
      <w:r>
        <w:t>IT: TF 7B.269/2002 del 21 marzo 2003</w:t>
      </w:r>
    </w:p>
    <w:p>
      <w:pPr>
        <w:pStyle w:val="Heading2"/>
      </w:pPr>
      <w:r>
        <w:t>Erwägungen</w:t>
      </w:r>
    </w:p>
    <w:p>
      <w:r>
        <w:rPr>
          <w:b/>
        </w:rPr>
        <w:t>E. 1</w:t>
      </w:r>
    </w:p>
    <w:p>
      <w:r>
        <w:t>Da den angefochtenen Entscheiden dieselbe Verfügung des Betreibungsamtes zugrunde liegt, die angefochtenen Entscheide übereinstimmende Begründungen und Dispositive aufweisen und die Beschwerdeanträge und -begründungen gleich lauten, rechtfertigt es sich, die beiden Beschwerdeverfahren zu vereinigen und in einem Urteil zu erledigen ( BGE 125 III 252 E. 1 S. 254).</w:t>
      </w:r>
    </w:p>
    <w:p>
      <w:r>
        <w:rPr>
          <w:b/>
        </w:rPr>
        <w:t>E. 2</w:t>
      </w:r>
    </w:p>
    <w:p>
      <w:r>
        <w:t>Die Aufsichtsbehörde hat im Wesentlichen festgehalten, dass sich der ordentliche Nachlassvertrag mit der Frage befasse, wie die alten Schuldverhältnisse des Nachlassschuldners mit dessen noch vorhandenen Mitteln - verbindlich für alle Nachlassgläubiger - zu bereinigen sind. Sie hat gefolgert, dass Erklärungen der Gläubiger über den Rückzug von Betreibungen nicht zum Tatbestand des Nachlassvertrags gehörten und ein Rückzug der Betreibungen der nicht zustimmenden Gläubigerminderheit durch den bestätigten Nachlassvertrag nicht aufgezwungen werden könne.</w:t>
      </w:r>
    </w:p>
    <w:p>
      <w:r>
        <w:rPr>
          <w:b/>
        </w:rPr>
        <w:t>E. 3</w:t>
      </w:r>
    </w:p>
    <w:p>
      <w:r>
        <w:t>Die Beschwerdeführer machen im Wesentlichen geltend, die im bestätigten Nachlassvertrag enthaltene Klausel stelle eine gültige Erklärung des Gläubigers zum Rückzug seiner Betreibung dar. Die Klausel könne ohne weiteres Inhalt eines ordentlichen Nachlassvertrages sein, weil Art. 314 Abs. 1 SchKG nur dessen Mindestinhalt definiere und der Nachlassrichter den ganzen Nachlassvertrag genehmigt habe, so dass sich dessen Rechtskraft und Verbindlichkeit für alle Gläubiger auch auf die fragliche Klausel beziehe und daher durchsetzbar sei. Schliesslich gehe der Zweck des Nachlassvertrags verloren, wenn Dritte weiter Einsicht in frühere Betreibungen des Nachlassschuldners hätten.</w:t>
      </w:r>
    </w:p>
    <w:p>
      <w:r>
        <w:rPr>
          <w:b/>
        </w:rPr>
        <w:t>E. 3.1</w:t>
      </w:r>
    </w:p>
    <w:p>
      <w:r>
        <w:t>Welche Auskünfte zu verhindern sind, weil sie keinen genügenden Rückschluss auf die Kreditwürdigkeit des Betroffenen zulassen, bestimmt Art. 8a Abs. 3 SchKG . So darf das Betreibungsamt Dritten keine Kenntnis von der Betreibung geben, wenn der Gläubiger die Betreibung zurückgezogen hat (lit. c). Dabei spielt es nach der Rechtsprechung keine Rolle, wann der Rückzug erfolgt, insbesondere ob er vor oder nach der Zahlung (an den Gläubiger oder an das Betreibungsamt) stattgefunden hat ( BGE 126 III 476 E. 2b S. 478). Da der Gläubiger den Rückzug nicht zu begründen braucht und das Stadium der Betreibung beim Rückzug keine Rolle spielt (vgl. Dominik Gasser, in: BlSchK 2001 S. 84), ist auch nicht ausgeschlossen, dass Betreibungen, welche dem Nachlassvertrag unterliegende Forderungen betreffen und mit dessen Bestätigung dahinfallen ( Art. 311 SchKG ; Hardmeier, in: Kommentar zum Bundesgesetz über Schuldbetreibung und Konkurs, N. 1 und 3 zu Art. 311 SchKG ), zurückgezogen werden können. Voraussetzung ist allerdings nach dem klaren Wortlaut des Gesetzes und der erwähnten Rechtsprechung, dass die entsprechende Erklärung des Gläubigers vorliegt. Dies ist nach den Sachverhaltsfeststellungen der Vorinstanz nicht der Fall. Vor diesem Hintergrund ist nicht zu beanstanden, wenn die Aufsichtsbehörde geschlossen hat, dass diejenigen Gläubiger, die dem Nachlassvertrag bzw. der darin enthaltenen Rückzugsklausel nicht zugestimmt haben, ihre Betreibung auch nicht zurückgezogen haben.</w:t>
      </w:r>
    </w:p>
    <w:p>
      <w:r>
        <w:rPr>
          <w:b/>
        </w:rPr>
        <w:t>E. 3.2</w:t>
      </w:r>
    </w:p>
    <w:p>
      <w:r>
        <w:t>Die Beschwerdeführer leiten sodann zu viel für sich aus Art. 314 SchKG ab. Diese Bestimmung schreibt den materiellen Mindestinhalt des ordentlichen Nachlassvertrages vor, was einzig bedeutet, dass zulässiger und möglicher Vertragsinhalt der Stundungsvergleich, der Prozentvergleich (wie hier) oder eine Kombination dieser Arten ist (BBl 1991 III 190). Soweit die Beschwerdeführer geltend machen, das Erfordernis, dass der Gläubiger den Rückzug der Betreibung erkläre, falle durch die Bestätigung des Nachlassvertrages dahin bzw. werde gleichsam derogiert, gehen sie fehl. Zum einen verkennen sie, dass das gerichtliche Nachlassverfahren dem (öffentlichen) Zwangsvollstreckungsrecht untersteht ( BGE 105 III 92 E. 2b S. 95), dessen Regeln - und damit auch Art. 8a Abs. 3 lit. c SchKG bzw. das Erfordernis der Rückzugserklärung von Seiten des Betreibungsgläubigers - unbedingt einzuhalten sind. Zum anderen gibt das Betreibungsamt u.a. nur dann Dritten keine Kenntnis von einer Betreibung, wenn deren Aufhebung zufolge einer Beschwerde oder eines Urteils erfolgt ist ( Art. 8a Abs. 3 lit. a SchKG ; vgl. Gilliéron, Commentaire de la loi fédérale sur la poursuite pour dettes et la faillite, N. 38 ff. zu Art. 8a SchKG ). Diesem Tatbestand kann ein Nachlassvertrag von vornherein nicht gleichgesetzt werden, da sich daraus nicht entnehmen lässt, ob die Betreibung ungerechtfertigt gewesen ist (vgl. BGE 125 III 334 E. 3 S. 336). Vor diesem Hintergrund ergibt sich, dass die im gerichtlichen Nachlassvertrag erwähnte Klausel zum Rückzug keine Wirkung dahingehend entfalten kann, dass sie einen Rückzug der Betreibungen durch die nicht zustimmenden Nachlassgläubiger darstelle.</w:t>
      </w:r>
    </w:p>
    <w:p>
      <w:r>
        <w:rPr>
          <w:b/>
        </w:rPr>
        <w:t>E. 3.3</w:t>
      </w:r>
    </w:p>
    <w:p>
      <w:r>
        <w:t>Nach dem Dargelegten ist nicht zu beanstanden, wenn die Aufsichtsbehörde zum Ergebnis gelangt ist, das Betreibungsamt habe zu Recht die fraglichen Betreibungen im Betreibungsregister als "Aufgehoben durch Nachlass" vermerkt, und es liege kein Grund zum Ausschluss des Auskunftsrechts gemäss Art. 8a Abs. 3 SchKG vor. Die Beschwerden sind unbegründet.</w:t>
      </w:r>
    </w:p>
    <w:p>
      <w:r>
        <w:rPr>
          <w:b/>
        </w:rPr>
        <w:t>E. 3.4</w:t>
      </w:r>
    </w:p>
    <w:p>
      <w:r>
        <w:t>Anzufügen bleibt, dass die Betreibung, welche durch die (gemäss Art. 308 Abs. 1 SchKG dem Betreibungsamt mitzuteilende) Bestätigung des Nachlassvertrages dahingefallen ist, im Betreibungsbuch durch den Buchstaben "E" zu vermerken ist ("Erlöschen aus anderen Gründen"; Art. 10 der Verordnung über die im Betreibungs- und Konkursverfahren zu verwendenden Formulare und Register sowie die Rechnungsführung [VFRR; SR 281.31]).</w:t>
      </w:r>
    </w:p>
    <w:p>
      <w:r>
        <w:rPr>
          <w:b/>
        </w:rPr>
        <w:t>E. 4</w:t>
      </w:r>
    </w:p>
    <w:p>
      <w:r>
        <w:t>Das Beschwerdeverfahren ist grundsätzlich kostenlos ( Art. 20a Abs. 1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