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7B.256/2003 vom 25. Februar 2004</w:t>
      </w:r>
    </w:p>
    <w:p>
      <w:r>
        <w:t>Bundesgericht, 2004-02-25, FR</w:t>
      </w:r>
    </w:p>
    <w:p>
      <w:r>
        <w:rPr>
          <w:b/>
        </w:rPr>
        <w:t xml:space="preserve">Quelle: </w:t>
      </w:r>
      <w:r>
        <w:t>https://mcp.opencaselaw.ch/entscheid/bger_7B.256_2003</w:t>
      </w:r>
    </w:p>
    <w:p>
      <w:r>
        <w:t>FR: TF 7B.256/2003 du 25 février 2004</w:t>
      </w:r>
    </w:p>
    <w:p>
      <w:r>
        <w:t>IT: TF 7B.256/2003 del 25 febbraio 2004</w:t>
      </w:r>
    </w:p>
    <w:p>
      <w:pPr>
        <w:pStyle w:val="Heading2"/>
      </w:pPr>
      <w:r>
        <w:t>Regeste</w:t>
      </w:r>
    </w:p>
    <w:p>
      <w:r>
        <w:t>Droit des poursuites et faillites</w:t>
      </w:r>
    </w:p>
    <w:p>
      <w:pPr>
        <w:pStyle w:val="Heading2"/>
      </w:pPr>
      <w:r>
        <w:t>Erwägungen</w:t>
      </w:r>
    </w:p>
    <w:p>
      <w:r>
        <w:rPr>
          <w:b/>
        </w:rPr>
        <w:t>E. 1</w:t>
      </w:r>
    </w:p>
    <w:p>
      <w:r>
        <w:t>Le recourant reproche tout d'abord à la cour cantonale d'avoir considéré que la plainte du débiteur n'était recevable que sur la question du retrait de l'opposition. Selon lui, la plainte était également recevable en ce qui concerne la révocation de la radiation de la poursuite. Ce premier grief est manifestement mal fondé. Au considérant II (p. 8 1er par.) de son arrêt, la cour cantonale a en effet expressément et clairement admis que la nouvelle décision de l'office du 17 mars 2003 était susceptible de plainte au sens de l' art. 17 LP non seulement en tant qu'elle informait le débiteur que le retrait d'opposition figurait désormais au registre, mais encore en tant qu'elle lui signifiait que la poursuite avait été réinscrite, soit, en d'autres termes, que sa radiation avait été révoquée.</w:t>
      </w:r>
    </w:p>
    <w:p>
      <w:r>
        <w:rPr>
          <w:b/>
        </w:rPr>
        <w:t>E. 2</w:t>
      </w:r>
    </w:p>
    <w:p>
      <w:r>
        <w:t>Le recourant fait valoir en deuxième lieu que la cour cantonale a eu tort d'attribuer à sa déclaration du 10 février 2003 la portée d'un retrait d'opposition. Elle aurait violé le droit fédéral en méconnaissant le contenu et la portée réels de cette déclaration. Il ressortirait des pièces produites, de l'instruction menée par l'autorité inférieure de surveillance, des circonstances de fait et du libellé de sa déclaration qu'il n'a jamais entendu retirer purement et simplement son opposition.</w:t>
      </w:r>
    </w:p>
    <w:p>
      <w:r>
        <w:rPr>
          <w:b/>
        </w:rPr>
        <w:t>E. 2.1</w:t>
      </w:r>
    </w:p>
    <w:p>
      <w:r>
        <w:t>L'interprétation de la déclaration en question d'après son texte, son contexte et l'ensemble des circonstances est une question de droit que la Chambre de céans peut revoir librement, sous réserve des constatations de l'autorité cantonale concernant les circonstances dans lesquelles la déclaration est intervenue et la réelle intention de son auteur, constatations qui la lient (63 al. 2 et 81 OJ; ATF 129 III 702 consid. 2.4 et les références). En l'occurrence, elle doit donc s'en tenir à l'arrêt attaqué en tant qu'il constate que l'employée de l'office n'aurait pas induit le poursuivi en erreur et que c'est plutôt ce dernier qui n'aurait pas mesuré toutes les conséquences de sa déclaration de retrait. Le texte de la déclaration est clair: "Veuillez prendre note que je retire l'opposition formulée au commandement de payer (...)". Comme l'a retenu à bon droit la cour cantonale, il s'agit incontestablement d'une déclaration de retrait d'opposition. Que son auteur y ait ajouté l'indication du but du retrait ("afin de constater la prescription de [la] poursuite [au sens de l'] art. 88 al. 2 LP "), cela n'enlevait rien à la portée de la déclaration, pas plus du reste que le fait que ce but pouvait éventuellement ne pas être atteint. La cour cantonale n'a dès lors pas violé le droit fédéral en concluant que l'opposition avait bien été retirée par le débiteur. Le deuxième grief du recourant est donc mal fondé.</w:t>
      </w:r>
    </w:p>
    <w:p>
      <w:r>
        <w:rPr>
          <w:b/>
        </w:rPr>
        <w:t>E. 2.2</w:t>
      </w:r>
    </w:p>
    <w:p>
      <w:r>
        <w:t>Le fait de considérer le débiteur comme lié par sa déclaration non équivoque de retrait de l'opposition ne le met d'ailleurs pas dans une situation plus défavorable que celle dans laquelle il se trouverait s'il avait omis de faire opposition en temps utile; dans un cas comme dans l'autre, supposé qu'il soit amené à payer une somme qu'il ne doit pas, il aura la possibilité d'exercer l'action en répétition de l'indu prévue par l' art. 86 LP ( ATF 75 III 40 p. 43). Il dispose en outre de l'action en constatation de l' art. 85a LP , moyen de défense supplémentaire destiné à le préserver du risque d'insolvabilité du poursuivant au moment d'agir en répétition de l'indu ( ATF 125 III 149 consid. 2c). Enfin, s'il estime avoir été induit en erreur de façon illicite par l'employée de l'office et avoir subi de ce fait un dommage, le débiteur peut encore intenter une action en responsabilité contre le canton conformément à l' art. 5 LP .</w:t>
      </w:r>
    </w:p>
    <w:p>
      <w:r>
        <w:rPr>
          <w:b/>
        </w:rPr>
        <w:t>E. 3</w:t>
      </w:r>
    </w:p>
    <w:p>
      <w:r>
        <w:t>C'est à tort également, soutient en troisième lieu le recourant, que l'arrêt attaqué considère l'action introduite devant la cour civile cantonale en mai 1994 comme une action en reconnaissance de dette au sens de l' art. 79 LP ayant interrompu (recte: suspendu) le délai de forclusion de l' art. 88 al. 2 LP . Outre la violation de ces deux dispositions, il invoque celle des art. 9 et 29 Cst.</w:t>
      </w:r>
    </w:p>
    <w:p>
      <w:r>
        <w:rPr>
          <w:b/>
        </w:rPr>
        <w:t>E. 3.1</w:t>
      </w:r>
    </w:p>
    <w:p>
      <w:r>
        <w:t>Conformément à l' art. 43 al. 1 OJ , applicable par renvoi de l' art. 81 OJ , le recourant ne peut invoquer la violation de ses droits constitutionnels que dans un recours de droit public ( ATF 119 III 70 consid. 2 p. 72 et arrêts cités).</w:t>
      </w:r>
    </w:p>
    <w:p>
      <w:r>
        <w:rPr>
          <w:b/>
        </w:rPr>
        <w:t>E. 3.2</w:t>
      </w:r>
    </w:p>
    <w:p>
      <w:r>
        <w:t>L'action en reconnaissance de dette peut être intentée par le poursuivant concurremment avec le dépôt de la réquisition de poursuite et même avant que le commandement de payer ne soit émis; elle empêche les délais de forclusion de courir, en particulier celui de l' art. 88 al. 2 LP ( ATF 113 III 120 consid. 3; Gilliéron, op. cit. , n. 20 ad art. 79 LP ; Roland Ruedin, L'action en reconnaissance de dette, FJS 979a ch. 5.1 et note 29). Toutefois, le jugement rendu sur une telle action ne permet d'obtenir la continuation de la poursuite que si son dispositif se réfère avec précision à la poursuite en cause et lève formellement l'opposition, totalement ou à concurrence d'un montant déterminé ( ATF 107 III 60 consid. 3 p. 64/65). Si dans sa demande le poursuivant ne conclut pas expressément à la levée de l'opposition, mais qu'il obtienne la condamnation pure et simple du poursuivi à payer la créance en poursuite invoquée en justice, il ne pourra requérir la continuation de la poursuite que s'il obtient la mainlevée définitive dans le cadre d'une procédure sommaire distincte ( art. 80 LP ; Gilliéron, op. cit., n. 26 ad art. 79 LP ; Ruedin, loc. cit., n. 5.2 p. 6; Daniel Staehelin, Kommentar zum Bundesgesetz über Schuldbetreibung und Konkurs, n. 28 ad art. 79 LP ). En l'espèce, la demande déposée auprès de la cour civile cantonale tend à ce que le poursuivi soit reconnu - solidairement avec un tiers - débiteur du même montant, en capital et intérêts, que celui réclamé dans la poursuite incriminée à laquelle elle se réfère expressément, et elle a le même fondement (contrats de vente et d'entreprise du 9 juin 1988, dommages et intérêts pour défauts de construction). Une interprétation objective des conclusions de ladite demande (cf. ATF 105 II 149 consid. 2a) conduit à considérer la procédure intentée comme tendante au paiement du montant en question, soit comme une action condamnatoire suspendant le délai de forclusion de la poursuite, et non pas comme une simple action en constatation sans effet suspensif, ainsi que le prétend le recourant. Certaines actions en constatation sont d'ailleurs également susceptibles de suspendre le délai de forclusion de l' art. 88 al. 2 LP : ainsi celles de l' art. 77 al. 4 LP et de l' art. 265a LP (Gilliéron, op. cit., n. 56 ad art. 88 LP ; André E. Lebrecht, Kommentar zum Bundesgesetz über Schuldbetreibung und Konkurs, n. 23 ad art. 88 LP ). Sur ce point, l'arrêt attaqué doit être confirmé. Dans la mesure où il est recevable, le troisième grief du recourant est donc mal fondé.</w:t>
      </w:r>
    </w:p>
    <w:p>
      <w:r>
        <w:rPr>
          <w:b/>
        </w:rPr>
        <w:t>E. 4</w:t>
      </w:r>
    </w:p>
    <w:p>
      <w:r>
        <w:t>Le recourant reproche enfin à la cour cantonale de ne s'être pas prononcée sur des griefs évoqués et examinés en première instance cantonale concernant le comportement de l'office, griefs qui, selon lui, devraient conduire à faire application de l' art. 22 LP . Il est douteux que les griefs en question, dont le recourant n'a d'ailleurs aucunement fait état dans sa détermination sur le recours cantonal, puissent être invoqués en tout temps, en dehors de toute plainte. La question peut toutefois demeurer indécise, car lesdits griefs sont manifestement mal fondés.</w:t>
      </w:r>
    </w:p>
    <w:p>
      <w:r>
        <w:rPr>
          <w:b/>
        </w:rPr>
        <w:t>E. 4.1</w:t>
      </w:r>
    </w:p>
    <w:p>
      <w:r>
        <w:t>L'on ne voit pas en quoi un office de poursuite agirait contrairement à la sécurité du droit et à l'exigence d'une application uniforme du droit de la poursuite en proposant aux débiteurs venant lui demander un extrait des poursuites de retirer leur opposition, aux fins de radiation, dans les poursuites qu'il estime périmées. Les préposés et employés des offices de poursuite ne sont, certes, ni les représentants du créancier ni ceux du débiteur, et ils doivent être neutres. Ils sont cependant habilités à attirer l'attention des personnes qui s'adressent à eux sur les faits pertinents qu'ils sont tenus de constater d'office. Ainsi le fait que le délai de forclusion de l' art. 88 al. 2 LP a ou non été observé, partant que le commandement de payer est ou non périmé, est un point que l'office des poursuites doit examiner d'office ( ATF 106 III 51 consid. 3 p. 55; Gilliéron, op. cit., n. 48 ad art. 88 LP ). Le débiteur qui retire son opposition par erreur, en se fondant sur de tels renseignements de l'office, et qui est ainsi amené à payer une somme qu'il ne doit pas, dispose de l'action en répétition de l'indu de l' art. 86 LP ou en constatation de l' art. 85a LP , voire - en cas de dommage causé de manière illicite du fait desdits renseignements - de l'action en responsabilité de l' art. 5 LP (cf. consid. 2.2 ci-dessus). Le cas échéant, il appartient donc au juge respectivement compétent, et non à l'autorité de surveillance, de connaître d'un tel litige. Les arguments soulevés dans ce contexte par le recourant n'avaient donc pas à être examinés d'office par la cour cantonale. Ils sont également irrecevables devant l'autorité fédérale de surveillance, qui n'a dès lors pas à décider s'il faut, comme le requiert le recourant, compléter l'état de fait de l'arrêt cantonal sur ce point.</w:t>
      </w:r>
    </w:p>
    <w:p>
      <w:r>
        <w:rPr>
          <w:b/>
        </w:rPr>
        <w:t>E. 4.2</w:t>
      </w:r>
    </w:p>
    <w:p>
      <w:r>
        <w:t>La collection de modèles éditée par la Chambre de céans pour la procédure de poursuite ne contient pas de formulaires, obligatoires ou facultatifs, concernant le retrait de l'opposition au commandement de payer. Rien n'empêche les cantons et les offices de poursuite d'établir et d'utiliser un tel formulaire ( art. 1 al. 3 Oform ). La critique du recourant concernant l'utilisation par l'office en l'espèce d'un document préformulé intitulé "déclaration de retrait d'opposition" est donc vaine.</w:t>
      </w:r>
    </w:p>
    <w:p>
      <w:r>
        <w:rPr>
          <w:b/>
        </w:rPr>
        <w:t>E. 5</w:t>
      </w:r>
    </w:p>
    <w:p>
      <w:r>
        <w:t>Il résulte de ce qui précède que le recours doit être rejeté dans la mesure de sa recevabilité. 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