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7B.252/2003 vom 12. Dezember 2003</w:t>
      </w:r>
    </w:p>
    <w:p>
      <w:r>
        <w:t>Bundesgericht, 2003-12-12, DE</w:t>
      </w:r>
    </w:p>
    <w:p>
      <w:r>
        <w:rPr>
          <w:b/>
        </w:rPr>
        <w:t xml:space="preserve">Quelle: </w:t>
      </w:r>
      <w:r>
        <w:t>https://mcp.opencaselaw.ch/entscheid/bger_7B.252_2003</w:t>
      </w:r>
    </w:p>
    <w:p>
      <w:r>
        <w:t>FR: TF 7B.252/2003 du 12 décembre 2003</w:t>
      </w:r>
    </w:p>
    <w:p>
      <w:r>
        <w:t>IT: TF 7B.252/2003 del 12 dicembre 2003</w:t>
      </w:r>
    </w:p>
    <w:p>
      <w:pPr>
        <w:pStyle w:val="Heading2"/>
      </w:pPr>
      <w:r>
        <w:t>Regeste</w:t>
      </w:r>
    </w:p>
    <w:p>
      <w:r>
        <w:t>Schuldbetreibungs- und Konkursrecht</w:t>
      </w:r>
    </w:p>
    <w:p>
      <w:pPr>
        <w:pStyle w:val="Heading2"/>
      </w:pPr>
      <w:r>
        <w:t>Erwägungen</w:t>
      </w:r>
    </w:p>
    <w:p>
      <w:r>
        <w:rPr>
          <w:b/>
        </w:rPr>
        <w:t>E. 1</w:t>
      </w:r>
    </w:p>
    <w:p>
      <w:r>
        <w:t>Z.________,</w:t>
      </w:r>
    </w:p>
    <w:p>
      <w:r>
        <w:rPr>
          <w:b/>
        </w:rPr>
        <w:t>E. 2</w:t>
      </w:r>
    </w:p>
    <w:p>
      <w:r>
        <w:t>Gemäss Art. 79 Abs. 1 OG muss bei einer Beschwerde nach Art. 19 SchKG die Begründung in der Beschwerdeschrift selbst enthalten sein; unbeachtlich bleiben Verweisungen auf Vorbringen im kantonalen Verfahren ( BGE 106 III 40 E. 1 S. 42). Die Beschwerde ist daher unzulässig, soweit die Beschwerdeführer zur Begründung ihrer Anträge auf eine im kantonalen Verfahren eingereichte Eingabe vom 8. September 2003 verweisen. Nicht eingetreten werden kann zudem auf die sinngemässe Rüge der Verletzung der Begründungspflicht durch die Aufsichtsbehörde, mithin des rechtlichen Gehörs ( Art. 29 Abs. 2 BV ): Die Verletzung von verfassungsmässigen Rechten kann nur mit staatsrechtlicher Beschwerde geltend gemacht werden (Art. 43 Abs. 1 i.V.m. Art. 81 OG ; BGE 107 III 11 E. 1 S. 12; 126 III 30 E. 1c S. 32; 128 III 244 E. 5a S. 245).</w:t>
      </w:r>
    </w:p>
    <w:p>
      <w:r>
        <w:rPr>
          <w:b/>
        </w:rPr>
        <w:t>E. 3</w:t>
      </w:r>
    </w:p>
    <w:p>
      <w:r>
        <w:t>Die Beschwerdeführer als Pfandeigentümer sind grundsätzlich legitimiert, eine tiefere Schätzung zu beantragen ( BGE 129 III 595 E. 3 S. 597 f.). Gemäss Art. 9 Abs. 2 letzter Satz VZG (i.V.m. Art. 99 Abs. 2 VZG ) werden Streitigkeiten über die Höhe der Schätzung endgültig durch die kantonale Aufsichtsbehörde beurteilt. Das Bundesgericht kann im Rahmen einer Beschwerde nach Art. 19 Abs. 1 SchKG nur noch prüfen, ob das für die Schätzung massgebende Verfahren eingehalten worden ist und ob die kantonale Aufsichtsbehörde allenfalls das ihr zustehende Ermessen überschritten oder missbraucht hat ( BGE 110 III 69 E. 2 S. 71; 120 III 79 E. 1 S. 81). Eine Verletzung von bundesrechtlichen Verfahrensvorschriften machen die Beschwerdeführer nicht substantiiert geltend. Der Vorwurf, die (erste) betreibungsamtliche Schätzung sei ohne sachkundigen Experten und ohne Augenschein durchgeführt worden, stösst ins Leere, hat doch die Aufsichtsbehörde vollständig auf die zweite Schätzung abgestellt, welche von einem Sachverständigen durchgeführt wurde, der - wie aus den Akten ersichtlich ist - die Liegenschaft besichtigt hat. Zudem ist der angefochtene Entscheid auch in Bezug auf die Höhe der Schätzung nicht zu beanstanden: Aus den von den Beschwerdeführern vorgebrachten Rügen an einzelnen Bewertungspunkten ergibt sich weder ein Missbrauch noch eine Überschreitung des Ermessens durch die Aufsichtsbehörde.</w:t>
      </w:r>
    </w:p>
    <w:p>
      <w:r>
        <w:rPr>
          <w:b/>
        </w:rPr>
        <w:t>E. 4</w:t>
      </w:r>
    </w:p>
    <w:p>
      <w:r>
        <w:t>Damit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