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7B.235/2001 vom 8. Januar 2002</w:t>
      </w:r>
    </w:p>
    <w:p>
      <w:r>
        <w:t>Bundesgericht, 2002-01-08, FR</w:t>
      </w:r>
    </w:p>
    <w:p>
      <w:r>
        <w:rPr>
          <w:b/>
        </w:rPr>
        <w:t xml:space="preserve">Quelle: </w:t>
      </w:r>
      <w:r>
        <w:t>https://mcp.opencaselaw.ch/entscheid/bger_7B.235_2001</w:t>
      </w:r>
    </w:p>
    <w:p>
      <w:r>
        <w:t>FR: TF 7B.235/2001 du 8 janvier 2002</w:t>
      </w:r>
    </w:p>
    <w:p>
      <w:r>
        <w:t>IT: TF 7B.235/2001 del 8 gennaio 2002</w:t>
      </w:r>
    </w:p>
    <w:p>
      <w:pPr>
        <w:pStyle w:val="Heading2"/>
      </w:pPr>
      <w:r>
        <w:t>Regeste</w:t>
      </w:r>
    </w:p>
    <w:p>
      <w:r>
        <w:t>Droit des poursuites et faillites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chef de conclusions préalable (constatation relative à la situation des successeurs du créancier) est nouveau, partant irrecevable selon l' art. 79 al. 1 OJ .</w:t>
      </w:r>
    </w:p>
    <w:p>
      <w:r>
        <w:rPr>
          <w:b/>
        </w:rPr>
        <w:t>E. 2</w:t>
      </w:r>
    </w:p>
    <w:p>
      <w:r>
        <w:t>Le présent recours est formé, au dire de ses auteurs, pour la seule hypothèse où la décision attaquée, qui serait muette à ce sujet, s'appuierait sur le fait que la cause pendante devant le tribunal de première instance a été rayée du rôle ensuite de péremption d'instance. En réalité, la décision attaquée se fonde bien sur le fait en question, qu'elle a considéré comme établi. Une telle constatation suffisait pour décider de la caducité du séquestre selon les art. 278 al. 4 aLP et 280 LP, et l'autorité cantonale n'avait pas à se référer, comme le laissent entendre les recourants, à une (autre) disposition légale particulière. Au demeurant, ladite constatation lie la Chambre de céans en vertu des art. 63 al. 2 et 81 OJ .</w:t>
      </w:r>
    </w:p>
    <w:p>
      <w:r>
        <w:rPr>
          <w:b/>
        </w:rPr>
        <w:t>E. 3</w:t>
      </w:r>
    </w:p>
    <w:p>
      <w:r>
        <w:t>a) Comme l'a relevé la IIe Cour civile dans son arrêt du 11 décembre 2001, ce n'est pas l'autorité cantonale de surveillance, mais le tribunal de première instance qui a déclaré l'action périmée et, partant, rayé la cause du rôle. L'autorité de surveillance a simplement fondé sa décision sur le fait que la cause litigieuse avait été rayée du rôle. Dans la mesure où il s'en prend à la décision de radiation elle-même, le recours est donc irrecevable parce que dirigé, contrairement à l' art. 19 al. 1 LP , contre une autre décision que celle de l'autorité cantonale de surveillance. b) Le droit fédéral invoqué par les recourants ( art. 593 CC ) l'est en relation avec l'application du droit cantonal de procédure ( art. 33 et 117 LPC gen.). N'étant pas habilitée à revoir celle-ci ( ATF 113 III 86 consid. 3), la Chambre de céans ne peut entrer en matière sur ce point. Par ces motifs, la Chambre des poursuites et des faillites: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