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7B.221/2005 vom 12. Januar 2006</w:t>
      </w:r>
    </w:p>
    <w:p>
      <w:r>
        <w:t>Bundesgericht, 2006-01-12, DE</w:t>
      </w:r>
    </w:p>
    <w:p>
      <w:r>
        <w:rPr>
          <w:b/>
        </w:rPr>
        <w:t xml:space="preserve">Quelle: </w:t>
      </w:r>
      <w:r>
        <w:t>https://mcp.opencaselaw.ch/entscheid/bger_7B.221_2005</w:t>
      </w:r>
    </w:p>
    <w:p>
      <w:r>
        <w:t>FR: TF 7B.221/2005 du 12 janvier 2006</w:t>
      </w:r>
    </w:p>
    <w:p>
      <w:r>
        <w:t>IT: TF 7B.221/2005 del 12 gennaio 2006</w:t>
      </w:r>
    </w:p>
    <w:p>
      <w:pPr>
        <w:pStyle w:val="Heading2"/>
      </w:pPr>
      <w:r>
        <w:t>Regeste</w:t>
      </w:r>
    </w:p>
    <w:p>
      <w:r>
        <w:t>Steigerungszuschläge | Schuldbetreibungs- und Konkursrecht</w:t>
      </w:r>
    </w:p>
    <w:p>
      <w:pPr>
        <w:pStyle w:val="Heading2"/>
      </w:pPr>
      <w:r>
        <w:t>Erwägungen</w:t>
      </w:r>
    </w:p>
    <w:p>
      <w:r>
        <w:rPr>
          <w:b/>
        </w:rPr>
        <w:t>E. 1</w:t>
      </w:r>
    </w:p>
    <w:p>
      <w:r>
        <w:t>Sein Nichteintreten hat das Kantonsgericht damit begründet, dass die Beschwerdeführerin die 10-tägige Frist von Art. 18 Abs. 1 SchKG verpasst habe, ohne die geltend gemachte Krankheit, welche die rechtzeitige Beschwerdeerhebung verhindert haben soll, belegt zu haben. Was die Beschwerdeführerin dagegen vorbringt (als 86-jährige Person leide sie unter gewissen altersbedingten Krankheiten, sie sei AHV-Bezügerin mit Anrecht auf Ergänzungsleistungen und ihr sei schon verschiedentlich die unentgeltliche Rechtspflege gewährt worden), ist nicht geeignet, eine Verletzung von Bundesrecht durch die Vorinstanz darzutun: Die Fristwiederherstellung gemäss Art. 33 Abs. 4 SchKG erfordert, dass die betroffene Person ohne Verschulden, d.h. durch ein nicht beeinflussbares Ereignis wie Unfall oder schwere plötzliche Krankheit objektiv ausser Stande war, innert Frist selbst zu handeln oder eine Drittperson mit den entsprechenden Handlungen zu betrauen; nicht als unverschuldetes Hindernis gilt demgegenüber dauernde Abwesenheit ohne Bekanntgabe einer Adresse, kurzfristige Abwesenheit oder normale Erkrankung ( BGE 112 V 255 E. 2a; Nordmann, in: Basler Kommentar, N. 11 f. zu Art. 33 SchKG ). Entgegen dem Vorbringen der Beschwerdeführerin muss die ersuchte Instanz nicht von sich aus untersuchen, ob unbelegte Behauptungen des um Fristwiederherstellung Ersuchenden tatsächlich zutreffen. Vielmehr ist das entsprechende Gesuch, wie bereits aus dem Wortlaut von Art. 33 Abs. 4 SchKG hervorgeht, zu begründen, was erheischt, dass auch die dazugehörigen Beweismittel wie etwa ärztliche Zeugnisse beigelegt oder Zeugen genannt werden (JdT 2003 II, S. 67; Gilliéron, Commentaire de la loi fédérale sur la poursuite pour dettes et la faillite, Lausanne 1999, N. 47 zu Art. 33 SchKG ). Dies hat die Beschwerdeführerin nach den für das Bundesgericht verbindlichen Tatsachenfeststellungen (Art. 63 Abs. 2 i.V.m. Art. 81 SchKG ) unterlassen, weshalb ihr Fristwiederherstellungsgesuch unsubstanziiert blieb und die Vorinstanz ohne weitere Abklärungen einen Nichteintretensentscheid fällen durfte (vgl. auch EGV 1998, S. 125).</w:t>
      </w:r>
    </w:p>
    <w:p>
      <w:r>
        <w:rPr>
          <w:b/>
        </w:rPr>
        <w:t>E. 2</w:t>
      </w:r>
    </w:p>
    <w:p>
      <w:r>
        <w:t>Nach dem Gesagten ist die Beschwerde in der Sache selbst grundsätzlich nur insoweit zulässig, als die Beschwerdeführerin Nichtigkeit behauptet, was ohne Fristbindung jederzeit möglich ist (vgl. Art. 22 Abs. 1 SchKG ). Nichtigkeit macht die Beschwerdeführerin mit Bezug auf die Kollokation der Bank B.________ geltend, weil diese auf betrügerischen Machenschaften gründe. Unter Vorbehalt allfälliger Kollokationsklagen ( Art. 250 SchKG ) erwächst der Kollokationsplan nach seiner öffentlichen Auflage in Rechtskraft ( Art. 249 SchKG ) und nachträglich entdeckte Irrtümer können grundsätzlich nicht korrigiert werden ( BGE 87 III 79 E. 2 S. 84; 88 III 131 S. 132). Wenn die Zulassung im Kollokationsplan durch eine betrügerische Eingabe erschlichen wurde, nimmt sie indes nicht an der Rechtskraft des Planes teil, weil sie als nichtig zu betrachten ist; einem formell rechtskräftig kollozierten Gläubiger dürfen solche Machenschaften allerdings nur dann entgegengehalten werden, wenn sie sich auf gewichtige Indizien stützen, die überdies nachgewiesen worden sein müssen ( BGE 88 III 131 S. 132; 91 III 87 E. 3 S. 92). Das Kantonsgericht hat für das Bundesgericht verbindlich festgestellt (Art. 63 Abs. 2 i.V.m. Art. 81 OG ), dass weder die Beschwerdeführerin betrügerische Handlungen der Bank B.________ nachzuweisen vermochte noch hierfür irgendwelche konkreten Anhaltspunkte bestehen. Die erneute Behauptung solcher Machenschaften vor Bundesgericht stösst somit als unzulässiges Tatsachenvorbringen ins Leere ( Art. 79 Abs. 1 OG ).</w:t>
      </w:r>
    </w:p>
    <w:p>
      <w:r>
        <w:rPr>
          <w:b/>
        </w:rPr>
        <w:t>E. 3</w:t>
      </w:r>
    </w:p>
    <w:p>
      <w:r>
        <w:t>Nicht einzutreten ist schliesslich auf die Gehörs- und Willkürrügen, die als Verfassungsrügen (Art. 29 Abs. 2 bzw. Art. 9 BV ) mit staatsrechtlicher Beschwerde vorzutragen wären (Art. 43 Abs. 1 i.V.m. Art. 81 OG ).</w:t>
      </w:r>
    </w:p>
    <w:p>
      <w:r>
        <w:rPr>
          <w:b/>
        </w:rPr>
        <w:t>E. 4</w:t>
      </w:r>
    </w:p>
    <w:p>
      <w:r>
        <w:t>Wie die vorstehenden Ausführungen zeigen, kann auf die Beschwerde insgesamt nicht eingetreten werden. 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