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7B.220/2005 vom 2. März 2006</w:t>
      </w:r>
    </w:p>
    <w:p>
      <w:r>
        <w:t>Bundesgericht, 2006-03-02, FR</w:t>
      </w:r>
    </w:p>
    <w:p>
      <w:r>
        <w:rPr>
          <w:b/>
        </w:rPr>
        <w:t xml:space="preserve">Quelle: </w:t>
      </w:r>
      <w:r>
        <w:t>https://mcp.opencaselaw.ch/entscheid/bger_7B.220_2005</w:t>
      </w:r>
    </w:p>
    <w:p>
      <w:r>
        <w:t>FR: TF 7B.220/2005 du 2 mars 2006</w:t>
      </w:r>
    </w:p>
    <w:p>
      <w:r>
        <w:t>IT: TF 7B.220/2005 del 2 marzo 2006</w:t>
      </w:r>
    </w:p>
    <w:p>
      <w:pPr>
        <w:pStyle w:val="Heading2"/>
      </w:pPr>
      <w:r>
        <w:t>Regeste</w:t>
      </w:r>
    </w:p>
    <w:p>
      <w:r>
        <w:t>refus d'interpeller les tiers débiteurs dans le cadre des séquestres | Droit des poursuites et faillites</w:t>
      </w:r>
    </w:p>
    <w:p>
      <w:pPr>
        <w:pStyle w:val="Heading2"/>
      </w:pPr>
      <w:r>
        <w:t>Erwägungen</w:t>
      </w:r>
    </w:p>
    <w:p>
      <w:r>
        <w:rPr>
          <w:b/>
        </w:rPr>
        <w:t>E. 1</w:t>
      </w:r>
    </w:p>
    <w:p>
      <w:r>
        <w:t>Contrairement à ce que soutient la recourante, la jurisprudence instaurée par l'arrêt Banque X. SA du 30 septembre 1999 ( ATF 125 III 391 ) n'est pas applicable à la seule hypothèse où le tiers débiteur est une banque. Rendue certes à propos du refus d'une banque de renseigner l'office sur la portée d'un séquestre tant que l'ordonnance de séquestre ne serait pas définitive et exécutoire, elle pose néanmoins de façon générale que l'obligation de renseigner "du tiers détenteur de biens séquestrés" ne naît qu'après l'expiration du délai d'opposition de l' art. 278 LP , le cas échéant qu'après décision définitive sur l'opposition (consid. 2). Peu importe d'ailleurs, ainsi que l'a relevé à juste titre la cour cantonale, dès lors qu'en l'espèce la tierce débitrice a rempli son obligation de renseigner à réception des avis de séquestre - en contestant l'existence de la créance à séquestrer et en invoquant une contre-créance - et que les séquestres ont porté.</w:t>
      </w:r>
    </w:p>
    <w:p>
      <w:r>
        <w:rPr>
          <w:b/>
        </w:rPr>
        <w:t>E. 2.1</w:t>
      </w:r>
    </w:p>
    <w:p>
      <w:r>
        <w:t>Selon la jurisprudence constante relative à l' art. 99 LP , également applicable au séquestre en vertu du renvoi de l' art. 275 LP ,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 art. 91 al. 4 LP ). Il n'a toutefois pas la compétence pour se prononcer sur l'existence de la créance saisie, soit sur les relations juridiques existant entre le poursuivi saisi et un tiers qu'il désigne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 art. 131 LP ou se la faire adjuger aux enchères publiques; tant qu'il ne l'aura pas fait, il n'aura pas le droit d'actionner le tiers débiteur pour faire constater la dette et, de son côté, l'office n'aura en aucune façon l'obligation d'ouvrir de lui-même action à cet effet ( ATF 120 III 18 consid. 4; 109 III 11 consid. 2; Jaeger/Walder/Kull/Kottmann, Bundesgesetz über Schuldbetreibung und Konkurs, 4e éd., n. 7 ad art. 99 LP ; André E. Lebrecht, Kommentar zum Bundesgesetz über Schuldbetreibung und Konkurs, n. 12 ad art. 99 LP ; Walter Stoffel/Isabelle Chabloz, Commentaire romand de la LP, n. 26 ad art. 275 LP ).</w:t>
      </w:r>
    </w:p>
    <w:p>
      <w:r>
        <w:rPr>
          <w:b/>
        </w:rPr>
        <w:t>E. 2.2</w:t>
      </w:r>
    </w:p>
    <w:p>
      <w:r>
        <w:t>A la lumière de ces principes, les conclusions du recours ne peuvent qu'être rejetées. L'office a en effet exécuté les ordonnances de séquestre conformément à la loi et c'est à bon droit que la cour cantonale a confirmé le rejet de la plainte formée par la créancière.</w:t>
      </w:r>
    </w:p>
    <w:p>
      <w:r>
        <w:rPr>
          <w:b/>
        </w:rPr>
        <w:t>E. 3</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