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7B.220/2003 vom 8. Oktober 2003</w:t>
      </w:r>
    </w:p>
    <w:p>
      <w:r>
        <w:t>Bundesgericht, 2003-10-08, DE</w:t>
      </w:r>
    </w:p>
    <w:p>
      <w:r>
        <w:rPr>
          <w:b/>
        </w:rPr>
        <w:t xml:space="preserve">Quelle: </w:t>
      </w:r>
      <w:r>
        <w:t>https://mcp.opencaselaw.ch/entscheid/bger_7B.220_2003</w:t>
      </w:r>
    </w:p>
    <w:p>
      <w:r>
        <w:t>FR: TF 7B.220/2003 du 8 octobre 2003</w:t>
      </w:r>
    </w:p>
    <w:p>
      <w:r>
        <w:t>IT: TF 7B.220/2003 del 8 ottobre 2003</w:t>
      </w:r>
    </w:p>
    <w:p>
      <w:pPr>
        <w:pStyle w:val="Heading2"/>
      </w:pPr>
      <w:r>
        <w:t>Regeste</w:t>
      </w:r>
    </w:p>
    <w:p>
      <w:r>
        <w:t>Schuldbetreibungs- und Konkursrecht</w:t>
      </w:r>
    </w:p>
    <w:p>
      <w:pPr>
        <w:pStyle w:val="Heading2"/>
      </w:pPr>
      <w:r>
        <w:t>Erwägungen</w:t>
      </w:r>
    </w:p>
    <w:p>
      <w:r>
        <w:rPr>
          <w:b/>
        </w:rPr>
        <w:t>E. 1</w:t>
      </w:r>
    </w:p>
    <w:p>
      <w:r>
        <w:t>Das Bundesgericht ist an die tatsächlichen Feststellungen der Aufsichtsbehörde gebunden, sofern sie weder offensichtlich auf einem Versehen beruhen noch unter Verletzung bundesrechtlicher Beweisvorschriften zustande gekommen sind (Art. 63 Abs. 2 i.V.m. Art. 81 OG ; BGE 119 III 54 E. 2b S. 55; 124 III 286 E. 3b S. 288). Unbeachtlich sind demnach die Ausführungen der Beschwerdeführer in tatbeständlicher Hinsicht, soweit sie von den Feststellungen der Aufsichtsbehörde abweichen. Unzulässig sind zudem die beantragten neuen Beweismittel ( Art. 79 Abs. 1 OG ).</w:t>
      </w:r>
    </w:p>
    <w:p>
      <w:r>
        <w:rPr>
          <w:b/>
        </w:rPr>
        <w:t>E. 2</w:t>
      </w:r>
    </w:p>
    <w:p>
      <w:r>
        <w:t>Die Beschwerdeführer verlangen in erster Linie die Durchführung einer zweiten Einigungsverhandlung gemäss Art. 10 Abs. 1 VVAG durch den Regierungsrat. Sie bringen vor, durch den Verzicht habe der Regierungsrat das ihm zustehende Ermessen missbraucht. Insbesondere müsse auch berücksichtigt werden, dass es sich vorliegend um die Verwertung eines Liquidationsanteiles an einer Familienwohnung handle.</w:t>
      </w:r>
    </w:p>
    <w:p>
      <w:r>
        <w:rPr>
          <w:b/>
        </w:rPr>
        <w:t>E. 2.1</w:t>
      </w:r>
    </w:p>
    <w:p>
      <w:r>
        <w:t>Gemäss Art. 10 Abs. 1 letzter Satz VVAG kann die zuständige Aufsichtsbehörde nochmals Einigungsverhandlungen anordnen. Eine Verpflichtung hierzu besteht nicht, vielmehr ist die Durchführung einer weiteren Einigungsverhandlung ihrem Ermessen anheimgestellt ( BGE 87 III 106 E. 2 S. 108; 96 III 10 E. 4 S. 19). Angezeigt ist eine Einigungsverhandlung in erster Linie, wenn Aussicht auf Erfolg einer solchen besteht (Raymond Bisang, Die Zwangsverwertung von Anteilen an Gesamthandschaften, Diss. Zürich 1978, S. 176). Dass von der Verwertung mittelbar eine Familienwohnung betroffen ist, spielt hingegen eine höchstens untergeordnete Rolle.</w:t>
      </w:r>
    </w:p>
    <w:p>
      <w:r>
        <w:rPr>
          <w:b/>
        </w:rPr>
        <w:t>E. 2.2</w:t>
      </w:r>
    </w:p>
    <w:p>
      <w:r>
        <w:t>Im vorliegenden Fall hat einer der Gläubiger Einigungsverhandlungen mehrfach abgelehnt, der andere solchen nie ausdrücklich zugestimmt. Gestützt darauf hat der Regierungsrat und mit ihm das Kantonsgericht die Chancen für eine Einigung als schlecht beurteilt. Es ist daher in keiner Weise zu beanstanden, wenn mangels konkreter Erfolgsaussichten auf eine weitere Einigungsverhandlung verzichtet wurde. Insbesondere liegt weder eine Überschreitung noch ein Missbrauch des der Aufsichtsbehörde zustehenden Ermessens vor.</w:t>
      </w:r>
    </w:p>
    <w:p>
      <w:r>
        <w:rPr>
          <w:b/>
        </w:rPr>
        <w:t>E. 3</w:t>
      </w:r>
    </w:p>
    <w:p>
      <w:r>
        <w:t>Weiter bringen die Beschwerdeführer vor, gemäss Art. 10 Abs. 3 VVAG solle die Versteigerung nur dann angeordnet werden, wenn der Wert des Anteilsrechts annähernd bestimmt werden könne. Im vorliegenden Fall habe sich keine der Vorinstanzen mit der Werthaltigkeit des Anteilsrechts auseinandergesetzt.</w:t>
      </w:r>
    </w:p>
    <w:p>
      <w:r>
        <w:rPr>
          <w:b/>
        </w:rPr>
        <w:t>E. 3.1</w:t>
      </w:r>
    </w:p>
    <w:p>
      <w:r>
        <w:t>Nach dem klaren Wortlaut von Art. 10 Abs. 3 VVAG gilt diese Bestimmung nur dann, wenn eine Verwertung durch Versteigerung des Anteilsrechts vorgesehen ist (Fritzsche/Walder, Schuldbetreibung und Konkurs nach schweizerischem Recht, 1984, § 30 Rz. 35; Raymond Bisang, a.a.O., S. 188). Im vorliegenden Fall hat jedoch der Regierungsrat die Verwertung durch Auflösung und Liquidation des Gemeinschaftsverhältnisses angeordnet. Die Beschwerdeführer rügen diese Wahl der Verwertungsart nicht, insbesondere verlangen sie nicht die Versteigerung des Anteils. Die Rüge stösst damit von vornherein ins Leere. Im Übrigen besteht gemäss angefochtenem Entscheid für die Liegenschaft, welche das einzige Aktivum der einfachen Gesellschaft bildet, bereits eine Schätzung und auch die Höhe der darauf lastenden Grundpfandschulden ist bekannt.</w:t>
      </w:r>
    </w:p>
    <w:p>
      <w:r>
        <w:rPr>
          <w:b/>
        </w:rPr>
        <w:t>E. 3.2</w:t>
      </w:r>
    </w:p>
    <w:p>
      <w:r>
        <w:t>Soweit die Beschwerdeführer mit Bezug auf die angeblich mangelnde Werthaltigkeit des Liquidationsanteils festhalten, die Pfändungsurkunde hätte als provisorischer Verlustschein deklariert werden müssen, kann auf die Beschwerde nicht eingetreten werden: Das Kantonsgericht hat zu dieser bereits im kantonalen Verfahren erhobenen Rüge einlässlich Stellung genommen und ausgeführt, das Betreibungsamt sei zur Durchführung der Verwertung verpflichtet, wenn die Gläubiger diese ungeachtet der Überschuldung verlangen würden. Mit diesen Ausführungen setzen sich die Beschwerdeführer jedoch in keiner Weise auseinander; ihre Rüge erschöpft sich in der wörtlichen Wiederholung ihrer Eingabe im kantonalen Verfahren. Damit genügt sie den Anforderungen nach Art. 79 Abs. 1 OG , wonach in der Beschwerdeschrift kurz darzulegen ist, welche Bundesrechtssätze und inwiefern diese durch den angefochtenen Entscheid verletzt sind ( BGE 119 III 49 E. 1 S. 50), nicht.</w:t>
      </w:r>
    </w:p>
    <w:p>
      <w:r>
        <w:rPr>
          <w:b/>
        </w:rPr>
        <w:t>E. 4</w:t>
      </w:r>
    </w:p>
    <w:p>
      <w:r>
        <w:t>Auch soweit die Beschwerdeführer eine Verletzung von Art. 123 SchKG geltend machen, weil dem Schuldner kein Verwertungsaufschub gewährt worden sei, fehlt jegliche Bezugnahme auf den angefochtenen Entscheid, welcher unter anderem festhält, dass der Schuldner bisher noch gar kein entsprechendes Gesuch gestellt habe. Entsprechend genügt die Beschwerde auch in diesem Punkt den gesetzlichen Begründungsanforderungen nicht, so dass nicht darauf eingetreten werden kann.</w:t>
      </w:r>
    </w:p>
    <w:p>
      <w:r>
        <w:rPr>
          <w:b/>
        </w:rPr>
        <w:t>E. 5</w:t>
      </w:r>
    </w:p>
    <w:p>
      <w:r>
        <w:t>Damit ist die Beschwerde abzuweisen, soweit darauf eingetreten werden kann. Das Beschwerdeverfahren ist grundsätzlich kostenlos ( Art. 20a Abs. 1 SchKG ), und es darf keine Parteientschädigung zugesprochen werden ( Art. 62 Abs. 2 GebV SchKG ). Demnach erkennt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