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7B.219/2005 vom 1. März 2006</w:t>
      </w:r>
    </w:p>
    <w:p>
      <w:r>
        <w:t>Bundesgericht, 2006-03-01, FR</w:t>
      </w:r>
    </w:p>
    <w:p>
      <w:r>
        <w:rPr>
          <w:b/>
        </w:rPr>
        <w:t xml:space="preserve">Quelle: </w:t>
      </w:r>
      <w:r>
        <w:t>https://mcp.opencaselaw.ch/entscheid/bger_7B.219_2005</w:t>
      </w:r>
    </w:p>
    <w:p>
      <w:r>
        <w:t>FR: TF 7B.219/2005 du 1 mars 2006</w:t>
      </w:r>
    </w:p>
    <w:p>
      <w:r>
        <w:t>IT: TF 7B.219/2005 del 1 marzo 2006</w:t>
      </w:r>
    </w:p>
    <w:p>
      <w:pPr>
        <w:pStyle w:val="Heading2"/>
      </w:pPr>
      <w:r>
        <w:t>Regeste</w:t>
      </w:r>
    </w:p>
    <w:p>
      <w:r>
        <w:t>refus de continuer la poursuite; légitimation | Droit des poursuites et faillites</w:t>
      </w:r>
    </w:p>
    <w:p>
      <w:pPr>
        <w:pStyle w:val="Heading2"/>
      </w:pPr>
      <w:r>
        <w:t>Erwägungen</w:t>
      </w:r>
    </w:p>
    <w:p>
      <w:r>
        <w:rPr>
          <w:b/>
        </w:rPr>
        <w:t>E. 1</w:t>
      </w:r>
    </w:p>
    <w:p>
      <w:r>
        <w:t>Attendu que, en vertu de l' art. 19 al. 1 LP , le recours de poursuite au Tribunal fédéral ne peut avoir pour objet que la décision de l'autorité cantonale supérieure de surveillance, la conclusion en annulation devrait être formulée logiquement et au premier chef à l'encontre de l'arrêt de la cour cantonale du 20 octobre 2005. Mais on comprend très bien, à la lecture du mémoire adressé à la Chambre de céans, ce que la recourante demande.</w:t>
      </w:r>
    </w:p>
    <w:p>
      <w:r>
        <w:rPr>
          <w:b/>
        </w:rPr>
        <w:t>E. 2</w:t>
      </w:r>
    </w:p>
    <w:p>
      <w:r>
        <w:t>La question de l'applicabilité de l' art. 27 al. 2 LP et du règlement fixant ses modalités d'application dans le canton de Vaud (RRPLP) n'est plus litigieuse, la cour cantonale ayant donné raison à la recourante sur ce point (cf. Faits, let. B, ci-dessus).</w:t>
      </w:r>
    </w:p>
    <w:p>
      <w:r>
        <w:rPr>
          <w:b/>
        </w:rPr>
        <w:t>E. 3</w:t>
      </w:r>
    </w:p>
    <w:p>
      <w:r>
        <w:t>La décision de la cour cantonale de rejeter le recours et de maintenir le prononcé de l'autorité inférieure de surveillance se fonde essentiellement sur l'art. 4 de la loi vaudoise du 5 septembre 1944 sur la représentation des parties (LReP). Cette disposition a été remaniée à l'occasion de l'entrée en vigueur de la LP révisée du 16 décembre 1994, en relation plus précisément avec le nouvel art. 27 LP habilitant les cantons à réglementer la représentation professionnelle des intéressés à la procédure d'exécution forcée (al. 1) et permettant à quiconque ayant été autorisé dans un canton à exercer la représentation professionnelle de demander l'autorisation d'exercer cette activité dans tout autre canton, pour autant que ses aptitudes professionnelles et sa moralité aient été vérifiées de manière appropriée (al. 2). L'adaptation en question a fait l'objet d'une novelle du 12 novembre 1996, approuvée par la Confédération conformément à l' art. 29 LP le 24 décembre 1996 et entrée en vigueur le 1er janvier 1997 ( ATF 124 III 428 consid. 2b et 3b). Dans cet arrêt, le Tribunal fédéral a notamment retenu que, à elle seule, la LReP dans sa teneur du 12 novembre 1996 constitue une base légale suffisante pour permettre au canton de Vaud de soumettre à autorisation la représentation professionnelle des parties en matière d'exécution forcée (consid. 3b p. 432).</w:t>
      </w:r>
    </w:p>
    <w:p>
      <w:r>
        <w:rPr>
          <w:b/>
        </w:rPr>
        <w:t>E. 4</w:t>
      </w:r>
    </w:p>
    <w:p>
      <w:r>
        <w:t>En tant qu'il porte sur l'application de l'art. 4 LReP, en particulier sur l'interprétation de la notion de "fondé de pouvoirs spécial" contenue à son alinéa premier, le présent recours est irrecevable. La Chambre de céans ne revoit pas, en effet, l'application du droit cantonal, la violation de ce droit ne pouvant être alléguée que dans un recours de droit public ( ATF 113 III 86 consid. 3 p. 87). L'irrecevabilité s'impose même si le droit fédéral enjoint aux cantons de légiférer dans le domaine en question et, a fortiori, s'il leur confère, comme l' art. 27 LP , la simple faculté de le faire (Sandoz-Monod, Commentaire de la loi fédérale d'organisation judiciaire, vol. II, Berne 1990, p. 784 n. 2.3.3; Gilliéron, Commentaire de la loi fédérale sur la poursuite pour dettes et la faillite, n. 45 ad art. 19; Amonn/Walther, Grundriss des Schuldbetreibungs- und Konkursrechts, 7e éd., Berne 2003, § 3 n. 14; § 6 n. 13, 87 et 100). Une conversion du présent recours en un recours de droit public est exclue, dès lors que la voie de droit a été choisie consciemment par un homme de loi ( ATF 120 II 270 consid. 2 p. 272 et les références).</w:t>
      </w:r>
    </w:p>
    <w:p>
      <w:r>
        <w:rPr>
          <w:b/>
        </w:rPr>
        <w:t>E. 5</w:t>
      </w:r>
    </w:p>
    <w:p>
      <w:r>
        <w:t>En tant que la recourante prétend avoir droit, sur la base de l' art. 32 al. 4 LP , à la réparation du vice résultant du brusque et inattendu changement de pratique de l'office qui, avant le 24 novembre 2004, avait admis sa qualité de représentante des mêmes parties, il sied de constater que son intérêt actuel et concret au recours fait défaut (cf. ATF 120 III 107 consid. 2; 99 III 58 consid. 2). Il ressort en effet de l'arrêt attaqué que, le 14 janvier 2005, la recourante a retiré sa conclusion visant à l'exécution de l'acte requis le 22 novembre 2004 (continuation de la poursuite), les poursuivis ayant depuis lors été déclarés en faillite.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