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7B.213/2001 vom 27. September 2001</w:t>
      </w:r>
    </w:p>
    <w:p>
      <w:r>
        <w:t>Bundesgericht, 2001-09-27, FR</w:t>
      </w:r>
    </w:p>
    <w:p>
      <w:r>
        <w:rPr>
          <w:b/>
        </w:rPr>
        <w:t xml:space="preserve">Quelle: </w:t>
      </w:r>
      <w:r>
        <w:t>https://mcp.opencaselaw.ch/entscheid/bger_7B.213_2001</w:t>
      </w:r>
    </w:p>
    <w:p>
      <w:r>
        <w:t>FR: TF 7B.213/2001 du 27 septembre 2001</w:t>
      </w:r>
    </w:p>
    <w:p>
      <w:r>
        <w:t>IT: TF 7B.213/2001 del 27 settembre 2001</w:t>
      </w:r>
    </w:p>
    <w:p>
      <w:pPr>
        <w:pStyle w:val="Heading2"/>
      </w:pPr>
      <w:r>
        <w:t>Erwägungen</w:t>
      </w:r>
    </w:p>
    <w:p>
      <w:r>
        <w:rPr>
          <w:b/>
        </w:rPr>
        <w:t>E. 1</w:t>
      </w:r>
    </w:p>
    <w:p>
      <w:r>
        <w:t>Dans la procédure de plainte, l'autorité de surveillance ne peut suppléer à une omission de l'office que s'il y a lieu de corriger un vice de la procédure d'exécution forcée, c'est-à-dire lorsqu'il s'agit de rectifier le déroulement d'une poursuite. Si le plaignant réclame réparation d'un dommage, seule la voie judiciaire est ouverte ( ATF 118 III 1 consid. 2). La jurisprudence distingue ainsi les prétentions fondées sur le droit de l'exécution forcée de celles fondées sur la responsabilité du canton en raison du dommage causé par la faute des préposés et fonctionnaires de l'office ( art. 5 LP ; cf. Gilliéron, Commentaire de la loi fédérale sur la poursuite pour dettes et la faillite, n. 25 et 67 ad art. 17).</w:t>
      </w:r>
    </w:p>
    <w:p>
      <w:r>
        <w:t>La prétention de 4'000 fr. réclamée à l'office par le débiteur pour la gestion prétendument chaotique de son dossier faisant incontestablement partie de la seconde catégorie, c'est à bon droit que l'autorité cantonale considère dans ses observations qu'elle était irrecevable. Elle aurait certes pu le dire d'un mot dans sa décision. Son omission n'affecte toutefois en rien le fond du litige, qui a trait à la régularité de la saisie de salaire et du procès-verbal de distraction de biens.</w:t>
      </w:r>
    </w:p>
    <w:p>
      <w:r>
        <w:rPr>
          <w:b/>
        </w:rPr>
        <w:t>E. 2</w:t>
      </w:r>
    </w:p>
    <w:p>
      <w:r>
        <w:t>Les autorités de poursuite cantonales disposent d'un large pouvoir d'appréciation et statuent en principe définitivement en ce qui concerne les faits déterminant le revenu saisissable. Par ailleurs, sous réserve d'exceptions non réalisées en l'espèce, le Tribunal fédéral est lié par les faits constatés par l'autorité cantonale de surveillance ( art. 63 al. 2 et 81 OJ ) et il ne peut prendre en considération les pièces nouvelles au sens de l' art. 79 al. 1 OJ . S'agissant de l'exercice du pouvoir d'appréciation, il n'intervient que s'il y a eu abus ou excès ( art. 19 al. 1 LP ; ATF 106 III 75 consid. 2).</w:t>
      </w:r>
    </w:p>
    <w:p>
      <w:r>
        <w:t>Le recourant ne fait rien valoir de tel en ce qui concerne les "frais de location de la voiture du fils majeur et de la place de parc". Il se borne à exposer à ce sujet sa propre version des faits et à produire une pièce nouvelle.</w:t>
      </w:r>
    </w:p>
    <w:p>
      <w:r>
        <w:t>Cela étant, et pour les motifs susmentionnés, la Chambre de céans n'a pas à corriger l'arrêt attaqué dans le sens qu'il souhaite.</w:t>
      </w:r>
    </w:p>
    <w:p>
      <w:r>
        <w:t>Au demeurant, les montants que le recourant dit payer au titre de remboursement de l'emprunt effectué par son fils pour l'achat de la voiture en question et pour la location de la place de parc ne constituent nullement des dépenses nécessaires à son entretien et à celui de sa famille au sens de l' art. 93 al. 1 LP (cf. Jean-Claude Mathey, La saisie de salaire et de revenu, thèse Lausanne 1989, p. 49 ss).</w:t>
      </w:r>
    </w:p>
    <w:p>
      <w:r>
        <w:t>C'est donc à bon droit que l'autorité cantonale de surveillance a considéré que ces frais n'avaient pas à être pris en compte dans le minimum vital.</w:t>
      </w:r>
    </w:p>
    <w:p>
      <w:r>
        <w:rPr>
          <w:b/>
        </w:rPr>
        <w:t>E. 3</w:t>
      </w:r>
    </w:p>
    <w:p>
      <w:r>
        <w:t>Le recourant ne s'en prend plus, devant le Tribunal fédéral, au procès-verbal de distraction de biens. La question de la régularité de ce document a donc été tranchée définitivement par l'autorité cantonale de surveillance.</w:t>
      </w:r>
    </w:p>
    <w:p>
      <w:r>
        <w:rPr>
          <w:b/>
        </w:rPr>
        <w:t>E. 4</w:t>
      </w:r>
    </w:p>
    <w:p>
      <w:r>
        <w:t>Il résulte de ce qui précède que le recours doit être rejeté dans la mesure de sa recevabilité.</w:t>
      </w:r>
    </w:p>
    <w:p>
      <w:r>
        <w:t>Conformément aux art. 20a al. 1 LP et 61 al. 2 let. a OELP, il n'y a pas lieu de percevoir d'émolument de justice.</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