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7B.200/2003 vom 11. November 2003</w:t>
      </w:r>
    </w:p>
    <w:p>
      <w:r>
        <w:t>Bundesgericht, 2003-11-11, FR</w:t>
      </w:r>
    </w:p>
    <w:p>
      <w:r>
        <w:rPr>
          <w:b/>
        </w:rPr>
        <w:t xml:space="preserve">Quelle: </w:t>
      </w:r>
      <w:r>
        <w:t>https://mcp.opencaselaw.ch/entscheid/bger_7B.200_2003</w:t>
      </w:r>
    </w:p>
    <w:p>
      <w:r>
        <w:t>FR: TF 7B.200/2003 du 11 novembre 2003</w:t>
      </w:r>
    </w:p>
    <w:p>
      <w:r>
        <w:t>IT: TF 7B.200/2003 del 11 novembre 2003</w:t>
      </w:r>
    </w:p>
    <w:p>
      <w:pPr>
        <w:pStyle w:val="Heading2"/>
      </w:pPr>
      <w:r>
        <w:t>Regeste</w:t>
      </w:r>
    </w:p>
    <w:p>
      <w:r>
        <w:t>Droit des poursuites et faillites</w:t>
      </w:r>
    </w:p>
    <w:p>
      <w:pPr>
        <w:pStyle w:val="Heading2"/>
      </w:pPr>
      <w:r>
        <w:t>Erwägungen</w:t>
      </w:r>
    </w:p>
    <w:p>
      <w:r>
        <w:rPr>
          <w:b/>
        </w:rPr>
        <w:t>E. 1</w:t>
      </w:r>
    </w:p>
    <w:p>
      <w:r>
        <w:t>Le recourant dit adhérer aux constatations de fait de l'arrêt attaqué, sous réserve toutefois de l'inadvertance suivante: l'état de fait établi par la cour cantonale ne retient pas que la pension alimentaire mensuelle de 4'050 fr. est régulièrement acquittée, comme en attesterait la pièce 102 produite en première et seconde instances. Il y a inadvertance au sens de l' art. 63 al. 2 OJ lorsque l'autorité cantonale a ignoré, mal lu, transcrit inexactement ou incomplètement une pièce versée au dossier ( ATF 118 III 1 consid. 1 p. 2, 115 II 399/400, 109 II 159 consid. 2b p. 162 et les arrêts cités). La pièce 102 invoquée concerne bien un ordre permanent de paiement, mais n'indique ni montant ni bénéficiaire. On ne saurait dans ces conditions reprocher à la cour cantonale une quelconque inadvertance. L'état de fait de l'arrêt attaqué n'a dès lors pas à être complété en application de l' art. 64 al. 2 OJ , comme le requiert le recourant. Au demeurant, le fait en question n'est pas pertinent pour la solution du présent litige (cf. Poudret, COJ II, n. 5.1 ad art. 63 OJ ).</w:t>
      </w:r>
    </w:p>
    <w:p>
      <w:r>
        <w:rPr>
          <w:b/>
        </w:rPr>
        <w:t>E. 2</w:t>
      </w:r>
    </w:p>
    <w:p>
      <w:r>
        <w:t>La question de savoir si et dans quelle mesure une dette d'aliments fait échec à l'exécution d'une saisie de salaire doit être tranchée à la lumière de l' art. 93 LP , disposition qu'appliquent souverainement les autorités de poursuite. En vertu de cette disposition, le salaire du débiteur ne peut être saisi au profit d'un créancier ordinaire que déduction faite de ce qui est indispensable à son entretien et à celui de sa famille. A cet effet, les autorités de poursuite fixent librement - en suivant les Lignes directrices pour le calcul du minimum d'existence en matière de poursuite de la Conférence des préposés aux poursuites et faillites de Suisse - la part des ressources du débiteur qu'elles estiment indispensable à son entretien et à celui de sa famille. Elles ne sont donc en principe pas liées par la décision qu'aurait pu prendre le juge ou telle autre autorité compétente quant au montant des aliments dus par le débiteur à tel ou tel membres de sa famille. Elles s'en tiennent toutefois, en général, au chiffre fixé par le juge, à moins qu'il n'y ait des motifs précis de croire que le créancier d'aliments n'a nullement besoin, pour s'assurer le minimum qui lui est indispensable, de toute la contribution mise à la charge du débiteur ( ATF 68 III 26 , 97; 71 III 174 consid. 3; 105 III 50 consid. 5). La liberté d'appréciation des autorités de poursuite en la matière est en tous les cas entière lorsque le juge ne fixe pas lui-même les contributions d'entretien ( art. 173 al. 1 CC ), mais se contente, comme en l'espèce, de ratifier une convention des époux, arrangement interne qui n'oblige que ceux-ci et ne peut avoir pour effet de modifier le minimum vital de l'époux poursuivi au détriment de ses créanciers ( ATF 116 III 75 consid. 2b et les références). En effet, bien que les conjoints puissent convenir de la façon dont chacun apporte sa contribution à l'entretien de la famille ( art. 163 al. 2 CC ), il n'est pas possible, dans le cadre d'une poursuite exercée par un tiers contre un époux, de tenir compte de leurs conventions internes (arrêt du Tribunal fédéral du 29 octobre 1990, cité par Gilliéron dans son commentaire de la loi fédérale sur la poursuite pour dettes et la faillite [n. 114 ad art. 93 LP ]). Comme le relève un autre auteur, le juge des mesures protectrices de l'union conjugale est d'ailleurs lié par les déclarations des parties et n'a pas à prendre en considération les intérêts des créanciers saisissants (Georges Vonder Mühll, Kommentar zum Bundesgesetz über Schuldbetreibung und Konkurs, n. 34 ad art. 93 LP ; cf. en outre Hausheer/Reusser/Geiser, Kommentar zum Eherecht, n. 67 ad art. 163 CC ; Amonn/Walther, Grundriss des Schuldbetreibungs- und Konkursrechts, 7e éd., Berne 2003, § 23 n. 66).</w:t>
      </w:r>
    </w:p>
    <w:p>
      <w:r>
        <w:rPr>
          <w:b/>
        </w:rPr>
        <w:t>E. 3</w:t>
      </w:r>
    </w:p>
    <w:p>
      <w:r>
        <w:t>A la lumière de ce qui précède, les griefs soulevés par le recourant ne peuvent qu'être écartés. Au demeurant, il ne ressort pas du procès-verbal d'audience du 12 mars 2002 que le juge des mesures protectrices de l'union conjugale ait, comme le recourant le prétend, fait porter son instruction sur "la situation financière respective des époux" ... "notamment [leurs] revenus et charges" et qu'il ait examiné "au regard des droits des autres créanciers [...] que la convention de mesures protectrices de l'union conjugale, une fois ratifiée, leur serait opposable". Ledit procès-verbal constate simplement que "le président [a interrogé] les parties sur leur convention", que "les parties [ont confirmé] être entièrement d'accord avec les termes de leur convention" et que "le président [a ratifié] la convention [...]".</w:t>
      </w:r>
    </w:p>
    <w:p>
      <w:r>
        <w:rPr>
          <w:b/>
        </w:rPr>
        <w:t>E. 4</w:t>
      </w:r>
    </w:p>
    <w:p>
      <w:r>
        <w:t>C'est en vain, comme le souligne la créancière, que le recourant évoque le risque de séparation d'avec son épouse, partant de plus grand préjudice pour les créanciers faute de pouvoir appliquer la convention litigieuse, considérée comme condition pour la continuation de la vie commune des époux. En effet, l'office des poursuites devant déterminer la quotité saisissable en se plaçant au moment de l'exécution de la saisie ( ATF 108 III 10 consid. 4 p. 12/13), il ne saurait prendre en considération une situation future et hypothétique.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