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7B.1/2007 vom 26. April 2007</w:t>
      </w:r>
    </w:p>
    <w:p>
      <w:r>
        <w:t>Bundesgericht, 2007-04-26, FR</w:t>
      </w:r>
    </w:p>
    <w:p>
      <w:r>
        <w:rPr>
          <w:b/>
        </w:rPr>
        <w:t xml:space="preserve">Quelle: </w:t>
      </w:r>
      <w:r>
        <w:t>https://mcp.opencaselaw.ch/entscheid/bger_7B.1_2007</w:t>
      </w:r>
    </w:p>
    <w:p>
      <w:r>
        <w:t>FR: TF 7B.1/2007 du 26 avril 2007</w:t>
      </w:r>
    </w:p>
    <w:p>
      <w:r>
        <w:t>IT: TF 7B.1/2007 del 26 aprile 2007</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w:t>
      </w:r>
    </w:p>
    <w:p>
      <w:r>
        <w:t>La décision attaquée étant antérieure au 1er janvier 2007, l'ancien droit, soit notamment la loi fédérale d'organisation judiciaire du 16 décembre 1943 (OJ), est applicable en vertu de l' art. 132 al. 1 LTF .</w:t>
      </w:r>
    </w:p>
    <w:p>
      <w:r>
        <w:rPr>
          <w:b/>
        </w:rPr>
        <w:t>E. 2.1</w:t>
      </w:r>
    </w:p>
    <w:p>
      <w:r>
        <w:t>La décision attaquée renvoie la cause à l'office pour correction du décompte des frais avec des injonctions précises. En dépit de son caractère incident, elle peut donc faire l'objet d'un recours au Tribunal fédéral selon l' art. 19 LP ( ATF 111 III 50 ; 112 III 90 consid. 1).</w:t>
      </w:r>
    </w:p>
    <w:p>
      <w:r>
        <w:rPr>
          <w:b/>
        </w:rPr>
        <w:t>E. 2.2</w:t>
      </w:r>
    </w:p>
    <w:p>
      <w:r>
        <w:t>Bien que n'ayant pas participé à la procédure cantonale, l'Etat de Genève a qualité pour contester la décision attaquée en tant qu'elle lui fait assumer la différence de frais concernant la deuxième tentative de notification (décision attaquée, consid. 8f p. 15; cf. Pauline Erard, Commentaire romand de la LP, n. 24 ss ad art. 19 LP ). L'office a lui-même qualité pour recourir dans la mesure où le litige a trait à l'application de l'ordonnance sur les émoluments perçus en application de la LP (art. 2 de cette ordonnance; cf. ATF 126 III 490 consid. 2).</w:t>
      </w:r>
    </w:p>
    <w:p>
      <w:r>
        <w:rPr>
          <w:b/>
        </w:rPr>
        <w:t>E. 3</w:t>
      </w:r>
    </w:p>
    <w:p>
      <w:r>
        <w:t>La question essentielle posée par le recours est celle de savoir si le montant de 25 fr. 80, facturé par ExpressPost SA pour la deuxième tentative de notification sur la base du contrat passé entre l'Etat de Genève et la Poste Suisse, constitue un débours soumis à remboursement au sens de l' art. 13 al. 1 OELP .</w:t>
      </w:r>
    </w:p>
    <w:p>
      <w:r>
        <w:rPr>
          <w:b/>
        </w:rPr>
        <w:t>E. 3.1</w:t>
      </w:r>
    </w:p>
    <w:p>
      <w:r>
        <w:t>En vertu de l' art. 161 LP , la commination de faillite doit être notifiée conformément à l' art. 72 LP , c'est-à-dire par les soins du préposé, d'un employé de l'office ou par la poste (al. 1), subsidiairement par un fonctionnaire communal ou un agent de la police ( art. 64 al. 2 LP ). A la différence de la communication par lettre recommandée prévue par l' art. 34 LP , pour laquelle on admet la fiction de la notification à l'échéance du délai de retrait postal si le pli n'est pas retiré dans ce délai (cf. ATF 127 I 31 consid. 2a/aa), la notification de la commination de faillite, à l'instar de celle du commandement de payer, intervient par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(art. 64 à 66 LP; Walter A. Stoffel, Voies d'exécution, Berne 2002, § 3 n. 20 ss; Jolanta Kren Kostkiewicz, Zustellung von Betreibungsurkunden, in BlSchK 1996 p. 201 ss, 204). Une telle notification exige donc la remise effective de l'acte à la personne du destinataire ou à la personne habilitée à le recevoir (P.-R. Gilliéron, Commentaire de la loi fédérale sur la poursuite pour dettes et la faillite, n. 12 ad art. 64 LP ) et cette particularité explique qu'il puisse y avoir deux ou plusieurs tentatives de remise effective de l'acte à notifier au destinataire ou à la personne habilitée à le recevoir (Gilliéron, op. cit., n. 37 et 41 ad art. 64 LP ; Yvan Jeanneret/Saverio Lembo, Commentaire romand de la LP, n. 30 ad art. 64 LP ; Paul Angst, Kommentar zum Bundesgesetz über Schuldbetreibung und Konkurs, n. 15 et 21 ad art. 64 LP ; Kren Kostkiewicz, loc. cit., p. 210; Léon Straessle/Lutz Krauskopf, Erläuterungen zum Gebührentarif zum SchKG vom 7. Juli 1971, p. 28 n. 4 ad art. 18). Il ne peut être suppléé au défaut de remise effective que par la présomption de connaissance résultant de la notification par publication aux conditions de l' art. 66 al. 4 LP (Gilliéron, op. cit., n. 12 ad art. 64 LP ).</w:t>
      </w:r>
    </w:p>
    <w:p>
      <w:r>
        <w:rPr>
          <w:b/>
        </w:rPr>
        <w:t>E. 3.2</w:t>
      </w:r>
    </w:p>
    <w:p>
      <w:r>
        <w:t>Lorsqu'il s'agit de renouveler une tentative de notification, le choix du mode de notification - par le préposé, par un employé de l'office ou par la poste ( art. 72 al. 1 LP ) - est laissé à l'appréciation du préposé, étant rappelé que le recours à un fonctionnaire communal ou à un agent de la force publique ( art. 64 al. 2 LP ) ne peut être mis en oeuvre que si la notification par l'office ou par la poste a échoué (Gilliéron, op. cit., n. 10 et 37 ad art. 64 LP ; Jeanneret/Lembo, loc. cit. n. 30 ad art. 64 LP ; Angst, loc. cit., n. 21 ad art. 64 LP ; Kren Kostkiewicz, loc. cit., p. 210).</w:t>
      </w:r>
    </w:p>
    <w:p>
      <w:r>
        <w:rPr>
          <w:b/>
        </w:rPr>
        <w:t>E. 3.3</w:t>
      </w:r>
    </w:p>
    <w:p>
      <w:r>
        <w:t>L'émolument de base prévu par l' art. 16 al. 1 OELP pour la commination de faillite ( art. 39 OELP ) couvre notamment la notification de cet acte, c'est-à-dire sa présentation ouverte à son destinataire ou à la personne habilitée à le recevoir. Il inclut donc la première tentative de notification, réussie ou non, que la notification ait lieu par la poste ou par l'office. A cet émolument s'ajoute la taxe postale si la notification a lieu par la poste ou le montant de la taxe postale évitée de la sorte, correspondant à un envoi non recommandé, si c'est l'office qui procède à la notification ( ATF 130 III 387 consid. 3.1).</w:t>
      </w:r>
    </w:p>
    <w:p>
      <w:r>
        <w:t>Pour chaque tentative de notification ultérieure, l' art. 16 al. 3 OELP prévoit expressément un émolument de 7 fr., taxe postale comprise (Straessle/Krauskopf, op. cit., p. 28 n. 4 ad art. 18). Vu le caractère exhaustif du tarif arrêté par le Conseil fédéral sur la base de l' art. 16 al. 1 LP , la perception d'un montant supérieur, rendant la poursuite plus onéreuse, est exclue ( ATF 128 III 476 consid. 1 et les références; Louis Dallèves, Commentaire romand de la LP, n. 2 ad art. 16 LP ). C'est dès lors à bon droit que la Commission cantonale de surveillance a retenu que pour la deuxième tentative de notification, effectuée par ExpressPost SA, l'office n'était pas autorisé à répercuter sur les frais de poursuite un montant supérieur à 7 fr. Le recours audit tiers pour l'accomplissement de l'opération était en soi admissible, mais il ne pouvait entraîner une charge dépassant le montant prévu par le tarif des frais, le supplément pouvant être laissé à la charge de l'Etat, partie au contrat avec la Poste Suisse (cf. ATF 103 III 44 ; Straessle/Krauskopf, p. 53 ad art. 47-49 in fine).</w:t>
      </w:r>
    </w:p>
    <w:p>
      <w:r>
        <w:t>S'agissant de la comptabilisation du montant de 5 fr., "pour la deuxième tentative de notification qu'a effectuée ExpressPost SA", précision de fait qui lie la Cour de céans ( art. 63 al. 2 et 81 OJ ), la Commission cantonale a considéré à juste titre qu'il ne pouvait y avoir eu de "taxe postale évitée" au sens de l' art. 13 al. 2 OELP , dès lors que la tentative de notification en cause n'avait pas été faite par l'office.</w:t>
      </w:r>
    </w:p>
    <w:p>
      <w:r>
        <w:t>En conclusion, la Commission cantonale de surveillance n'a pas violé le droit fédéral ni commis un excès ou un abus de son pouvoir d'appréciation en décidant que les frais de la poursuite en cause devaient être réduits de 23 fr. 80, montant comptabilisé en trop à raison de 18 fr. 80 (25 fr. 80 au lieu de 7 fr.) et de 5 fr. ("taxe postale évitée"). Le recours doit en conséquence être rejeté.</w:t>
      </w:r>
    </w:p>
    <w:p>
      <w:r>
        <w:rPr>
          <w:b/>
        </w:rPr>
        <w:t>E. 4</w:t>
      </w:r>
    </w:p>
    <w:p>
      <w:r>
        <w:t>Conformément aux art. 20a al. 1 aLP, 61 al. 2 let. a et 62 al. 2 OELP, il n'y a pas lieu de percevoir d'émolument de justice, ni d'allouer des dépens.</w:t>
      </w:r>
    </w:p>
    <w:p>
      <w:r>
        <w:t>Par ces motifs,le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