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7B.19/2002 vom 31. Mai 2001</w:t>
      </w:r>
    </w:p>
    <w:p>
      <w:r>
        <w:t>Bundesgericht, 2001-05-31, DE</w:t>
      </w:r>
    </w:p>
    <w:p>
      <w:r>
        <w:rPr>
          <w:b/>
        </w:rPr>
        <w:t xml:space="preserve">Quelle: </w:t>
      </w:r>
      <w:r>
        <w:t>https://mcp.opencaselaw.ch/entscheid/bger_7B.19_2002</w:t>
      </w:r>
    </w:p>
    <w:p>
      <w:r>
        <w:t>FR: TF 7B.19/2002 du 31 mai 2001</w:t>
      </w:r>
    </w:p>
    <w:p>
      <w:r>
        <w:t>IT: TF 7B.19/2002 del 31 maggio 2001</w:t>
      </w:r>
    </w:p>
    <w:p>
      <w:pPr>
        <w:pStyle w:val="Heading2"/>
      </w:pPr>
      <w:r>
        <w:t>Regeste</w:t>
      </w:r>
    </w:p>
    <w:p>
      <w:r>
        <w:t>Schuldbetreibungs- und Konkursrecht</w:t>
      </w:r>
    </w:p>
    <w:p>
      <w:pPr>
        <w:pStyle w:val="Heading2"/>
      </w:pPr>
      <w:r>
        <w:t>Erwägungen</w:t>
      </w:r>
    </w:p>
    <w:p>
      <w:r>
        <w:rPr>
          <w:b/>
        </w:rPr>
        <w:t>E. 4</w:t>
      </w:r>
    </w:p>
    <w:p>
      <w:r>
        <w:t>a) Die kantonale Aufsichtsbehörde hält fest, dass die Beschwerdegegnerin (Krankenkasse A.________) in der Betreibung Nr. Y.________ dem Beschwerdeführer am 19. Juni 2001 eine neue Zahlungsverfügung zugestellt habe. Da der Beschwerdeführer keine Einsprache erhoben habe, sei diese in Rechtskraft erwachsen, worauf die Beschwerdegegnerin (erneut) das Fortsetzungsbegehren habe stellen dürfen. Die mit der Zustellung des Zahlungsbefehls am 7. Februar 2001 ausgelöste Jahresfrist sei eingehalten worden und es sei nichts ersichtlich, was gegen die Zulässigkeit der Pfändungsankündigung sprechen könnte. b) Die Feststellung der Vorinstanz, der Beschwerdeführer habe eine Zahlungsverfügung erhalten, gegen die er keine Einsprache erhoben habe, ist tatsächlicher Natur und für die erkennende Kammer daher verbindlich, zumal eine Verletzung bundesrechtlicher Beweisvorschriften nicht behauptet wird und nichts auf ein offensichtliches Versehen hindeutet (vgl. Art. 63 Abs. 2 in Verbindung mit Art. 81 OG ). Soweit die Ausführungen in der Beschwerde dazu in Widerspruch stehen, sind sie demnach nicht zu hören. Im Übrigen ist darauf hinzuweisen, dass das Betreibungsamt einem fristgerecht eingereichten Fortsetzungsbegehren, dem der mit einer Rechtskraftbescheinigung versehene Rechtsöffnungsentscheid beiliegt, grundsätzlich ohne weiteres stattzugeben hat. Rügen betreffend die Zustellung der von der Beschwerdegegnerin erlassenen Verfügung hätten im Einspracheverfahren vorgebracht werden müssen (vgl. dazu BGE 64 III 10 S. 12; Daniel Staehelin, in: Kommentar zum SchKG, Basel 1998, N. 35 zu Art. 79). In seinen weiteren Vorbringen legt der Beschwerdeführer nicht dar, inwiefern die Vorinstanz gegen Bundesrecht verstossen haben soll (vgl. Art. 79 Abs. 1 OG ).</w:t>
      </w:r>
    </w:p>
    <w:p>
      <w:r>
        <w:rPr>
          <w:b/>
        </w:rPr>
        <w:t>E. 5</w:t>
      </w:r>
    </w:p>
    <w:p>
      <w:r>
        <w:t>Mit dem Entscheid in der Sache selbst ist das Begehren, der Beschwerde aufschiebende Wirkung zuzuerkennen, gegenstandslos geworden. Demnach erkennt die Schuldbetreibungs- und Konkurskammer: _________________________________________ 1.- Auf die Beschwerde wird nicht eingetreten. 2.- Dieses Urteil wird dem Beschwerdeführer, der Beschwerdegegnerin (Krankenkasse A.________), dem Betreibungsamt des Kantons Basel-Stadt und der Aufsichtsbehörde über das Betreibungs- und Konkursamt Basel-Stadt schriftlich mitgeteilt. ______________ Lausanne, 4. März 2002 Im Namen der Schuldbetreibungs- und Konkurskammer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